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60" w:lineRule="exact"/>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1</w:t>
      </w:r>
    </w:p>
    <w:p>
      <w:pPr>
        <w:pStyle w:val="6"/>
        <w:widowControl/>
        <w:spacing w:beforeAutospacing="0" w:afterAutospacing="0" w:line="560" w:lineRule="exact"/>
        <w:rPr>
          <w:rFonts w:ascii="黑体" w:hAnsi="宋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科技部关于发布国家重点研发计划</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“战略性国际科技创新合作”重点专项</w:t>
      </w:r>
    </w:p>
    <w:p>
      <w:pPr>
        <w:spacing w:line="56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2018年度联合研发与示范项目申报指南的通知</w:t>
      </w:r>
    </w:p>
    <w:bookmarkEnd w:id="0"/>
    <w:p>
      <w:pPr>
        <w:spacing w:line="560" w:lineRule="exact"/>
        <w:jc w:val="center"/>
        <w:rPr>
          <w:rFonts w:ascii="楷体_GB2312" w:hAnsi="楷体" w:eastAsia="楷体_GB2312" w:cs="楷体"/>
          <w:sz w:val="32"/>
          <w:szCs w:val="32"/>
        </w:rPr>
      </w:pPr>
      <w:r>
        <w:rPr>
          <w:rFonts w:hint="eastAsia" w:ascii="楷体_GB2312" w:hAnsi="楷体" w:eastAsia="楷体_GB2312" w:cs="楷体"/>
          <w:sz w:val="32"/>
          <w:szCs w:val="32"/>
        </w:rPr>
        <w:t>国科发资〔2018〕264号</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国务院印发的《关于深化中央财政科技计划（专项、基金等）管理改革的方案》（国发〔2014〕64号）的总体部署，按照国家重点研发计划组织管理的相关要求，现将战略性国际科技创新合作重点专项2018年度联合研发与示范项目申报指南予以公布。请根据指南要求组织项目申报工作。有关事项通知如下。</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一、项目组织申报工作流程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1.申报单位根据指南支持方向的研究内容以项目形式组织申报，项目不设任务（或课题）。项目应整体申报，须覆盖相应指南方向的全部考核指标。项目申报单位推荐1名科研人员作为项目负责人。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2.国家重点研发计划项目申报评审采取填写预申报书、正式申报书两步进行，具体工作流程如下。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——各推荐单位加强对所推荐的项目申报材料审核把关，按时将推荐项目通过国家科技管理信息系统统一报送。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科学技术交流中心在受理项目预申报后，组织形式审查，并开展首轮评审工作。首轮评审不需要项目负责人进行答辩。根据专家评审结果，遴选出拟立项数3-4倍的申报项目，进入下一步答辩评审。对于未进入答辩评审的申报项目，及时将评审结果反馈项目申报单位和负责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——申报单位在接到中国科学技术交流中心进入答辩评审的通知后，通过国家科技管理信息系统填写并提交项目正式申报书。正式申报书受理时间为30天。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——中国科学技术交流中心对进入正式评审的项目申报书进行形式审查，并组织答辩评审。申报项目的负责人通过网络视频进行报告答辩。根据专家评议情况择优立项。</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二、组织申报的推荐单位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1.国务院有关部门科技主管司局；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2.各省、自治区、直辖市、计划单列市及新疆生产建设兵团科技主管部门；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3.原工业部门转制成立的行业协会；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4.纳入科技部试点范围并且评估结果为A类的产业技术创新战略联盟，以及纳入科技部、财政部开展的科技服务业创新发展行业试点联盟。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三、申报资格要求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项目牵头申报单位、项目参与单位以及项目团队成员诚信状况良好，无在惩戒执行期内的科研严重失信行为记录和相关社会领域信用“黑名单”记录。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申报单位同一个项目只能通过单个推荐单位申报，不得多头申报和重复申报。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项目时必须有1个（或以上）外方单位共同参与申报。外方参与单位应为在中国大陆境外注册3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2.项目负责人须具有高级职称或博士学位，1958年1月1日以后出生，每年用于项目的工作时间不得少于6个月。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外方参与单位应指定1位外方牵头人。外方牵头人一般不超过65周岁（1953年1月1日以后出生），工作时间在国外单位每年不得少于6个月，应担任高级研发职位（相当于国内副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出明确说明）。对于诺贝尔奖、图灵奖、菲尔兹奖等国际大奖获得者，合作伙伴国家科学院院士、工程院院士，在世界一流大学、科研机构任职的国际著名学者，开展合作急需紧缺或能发挥关键作用的人员等，由申报单位在提交预申报书时作出特别说明，年龄可突破65周岁限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3.项目负责人原则上应为该项目主体研究思路的提出者和实际主持研究的科技人员。中央和地方各级国家机关的公务人员（包括行使科技计划管理职能的其他人员）不得申报项目。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计划任务书执行期（包括延期后的执行期）到2019年6月30日之前的在研项目（含任务或课题）不在限项范围内。</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5.特邀咨评委委员不能申报项目；参与重点专项实施方案或本年度项目指南编制的专家，不能申报该重点专项项目。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7.申报项目受理后，原则上不能更改申报单位和负责人。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8.项目的具体申报要求，详见项目申报指南。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10.企业作为中方牵头单位申报的，应明确配套投入比例。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外方机构和人员应确定好国内合作单位，外方项目牵头人不得同国内不同单位合作多头参与申报。外方项目牵头人已参与国家重点研发计划项目或改革前计划项目的按照国家重点研发计划课题负责人限项规定实施，外方其他项目参与人员的申报项目和参与改革前计划、国家科技重大专项、国家重点研发计划在研项目总数不得超过2个。</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四、具体申报方式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申报单位网上填报预申报书的受理时间为：2018年12月5日8:00至2019年1月14日16:00。申报项目通过首轮评审后，申报单位按要求填报正式申报书，并通过国家科技管理信息系统提交，具体时间和有关要求另行通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国家科技管理信息系统公共服务平台：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http://service.most.gov.cn；</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技术咨询电话：010-58882999（中继线）；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技术咨询邮箱：program@istic.ac.cn。</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组织推荐。请各推荐单位于2019年1月16日前（以寄出时间为准），将加盖推荐单位公章的推荐函（纸质，一式2份）、推荐项目清单（纸质，一式2份）寄送中国科学技术信息研究所。推荐项目清单须通过系统直接生成打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寄送地址：北京市海淀区复兴路15号中信所170室，邮编：100038。</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联系电话：010-58882171。</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3.材料报送和业务咨询。请各申报单位于2019年1月16日前（以寄出时间为准），将加盖申报单位公章的预申报书（纸质，一式2份），寄送中国科学技术交流中心。预申报书须通过系统直接生成打印。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寄送地址：北京市西城区三里河路54号，中国科学技术交流中心207室，邮编：100045。</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联系电话：010-68598075。</w:t>
      </w:r>
    </w:p>
    <w:p>
      <w:pPr>
        <w:spacing w:line="560" w:lineRule="exact"/>
        <w:ind w:firstLine="640"/>
        <w:rPr>
          <w:rFonts w:hint="eastAsia"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科 技 部</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2018年11月19日签发</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2018年11月23日发布</w:t>
      </w:r>
    </w:p>
    <w:p>
      <w:pPr>
        <w:spacing w:line="560" w:lineRule="exact"/>
        <w:rPr>
          <w:rFonts w:ascii="仿宋_GB2312" w:hAnsi="仿宋_GB2312" w:eastAsia="仿宋_GB2312" w:cs="Times New Roman"/>
          <w:color w:val="444444"/>
          <w:sz w:val="32"/>
          <w:szCs w:val="32"/>
        </w:rPr>
      </w:pPr>
      <w:r>
        <w:rPr>
          <w:rFonts w:hint="eastAsia" w:ascii="仿宋_GB2312" w:hAnsi="仿宋_GB2312" w:eastAsia="仿宋_GB2312" w:cs="仿宋_GB2312"/>
          <w:sz w:val="32"/>
          <w:szCs w:val="32"/>
        </w:rPr>
        <w:t xml:space="preserve">（此件主动公开） </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简美黑">
    <w:altName w:val="Arial Unicode MS"/>
    <w:panose1 w:val="00000000000000000000"/>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文星标宋">
    <w:altName w:val="Arial Unicode MS"/>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E395E"/>
    <w:multiLevelType w:val="singleLevel"/>
    <w:tmpl w:val="53BE395E"/>
    <w:lvl w:ilvl="0" w:tentative="0">
      <w:start w:val="1"/>
      <w:numFmt w:val="chineseCounting"/>
      <w:pStyle w:val="1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6477EB4"/>
    <w:rsid w:val="00005885"/>
    <w:rsid w:val="00007AD3"/>
    <w:rsid w:val="000434B5"/>
    <w:rsid w:val="00046A19"/>
    <w:rsid w:val="00084465"/>
    <w:rsid w:val="00085E44"/>
    <w:rsid w:val="00095E91"/>
    <w:rsid w:val="000A48A2"/>
    <w:rsid w:val="000B370D"/>
    <w:rsid w:val="000C1EB3"/>
    <w:rsid w:val="000C5495"/>
    <w:rsid w:val="000D1E32"/>
    <w:rsid w:val="000D4716"/>
    <w:rsid w:val="000D6FD0"/>
    <w:rsid w:val="000E4440"/>
    <w:rsid w:val="000F34FF"/>
    <w:rsid w:val="000F3C8E"/>
    <w:rsid w:val="0012050A"/>
    <w:rsid w:val="00130846"/>
    <w:rsid w:val="00176CBF"/>
    <w:rsid w:val="001B1685"/>
    <w:rsid w:val="001B3B59"/>
    <w:rsid w:val="001C7863"/>
    <w:rsid w:val="001D7051"/>
    <w:rsid w:val="001E31F7"/>
    <w:rsid w:val="002100A0"/>
    <w:rsid w:val="00211CFA"/>
    <w:rsid w:val="00214BBF"/>
    <w:rsid w:val="00216E37"/>
    <w:rsid w:val="0024260D"/>
    <w:rsid w:val="00251FF4"/>
    <w:rsid w:val="00260AA1"/>
    <w:rsid w:val="0027684B"/>
    <w:rsid w:val="002826FF"/>
    <w:rsid w:val="00283644"/>
    <w:rsid w:val="002B1A9C"/>
    <w:rsid w:val="002C3F0F"/>
    <w:rsid w:val="002D02DA"/>
    <w:rsid w:val="002E7019"/>
    <w:rsid w:val="0034683C"/>
    <w:rsid w:val="00375DC6"/>
    <w:rsid w:val="00381874"/>
    <w:rsid w:val="003C09E9"/>
    <w:rsid w:val="003F4605"/>
    <w:rsid w:val="0043123A"/>
    <w:rsid w:val="00454DEF"/>
    <w:rsid w:val="00457F07"/>
    <w:rsid w:val="004841B3"/>
    <w:rsid w:val="004942C2"/>
    <w:rsid w:val="004A64E6"/>
    <w:rsid w:val="004A6A81"/>
    <w:rsid w:val="004B7435"/>
    <w:rsid w:val="004C356C"/>
    <w:rsid w:val="004D3151"/>
    <w:rsid w:val="004D7D27"/>
    <w:rsid w:val="004E569D"/>
    <w:rsid w:val="004F0AC2"/>
    <w:rsid w:val="00503B20"/>
    <w:rsid w:val="00511523"/>
    <w:rsid w:val="00515586"/>
    <w:rsid w:val="005253E1"/>
    <w:rsid w:val="00530A8A"/>
    <w:rsid w:val="00530E0F"/>
    <w:rsid w:val="005357CD"/>
    <w:rsid w:val="00550323"/>
    <w:rsid w:val="005510BA"/>
    <w:rsid w:val="00564CE3"/>
    <w:rsid w:val="00573B4F"/>
    <w:rsid w:val="00573D80"/>
    <w:rsid w:val="005855AF"/>
    <w:rsid w:val="005A102E"/>
    <w:rsid w:val="005A7B85"/>
    <w:rsid w:val="005A7C4B"/>
    <w:rsid w:val="005B061F"/>
    <w:rsid w:val="005B0AE4"/>
    <w:rsid w:val="005B6E8C"/>
    <w:rsid w:val="005B6FAD"/>
    <w:rsid w:val="005C5B40"/>
    <w:rsid w:val="005D1F1D"/>
    <w:rsid w:val="005D7994"/>
    <w:rsid w:val="00600296"/>
    <w:rsid w:val="0061232A"/>
    <w:rsid w:val="00615D87"/>
    <w:rsid w:val="006257C1"/>
    <w:rsid w:val="006263DB"/>
    <w:rsid w:val="00631960"/>
    <w:rsid w:val="0068285E"/>
    <w:rsid w:val="006C6246"/>
    <w:rsid w:val="006D4624"/>
    <w:rsid w:val="006F187A"/>
    <w:rsid w:val="007118FD"/>
    <w:rsid w:val="00732589"/>
    <w:rsid w:val="00742FBC"/>
    <w:rsid w:val="00746FC9"/>
    <w:rsid w:val="00756452"/>
    <w:rsid w:val="0078469C"/>
    <w:rsid w:val="0079072A"/>
    <w:rsid w:val="0079520B"/>
    <w:rsid w:val="007A16D6"/>
    <w:rsid w:val="007B522F"/>
    <w:rsid w:val="007B59A3"/>
    <w:rsid w:val="007C0221"/>
    <w:rsid w:val="007D2008"/>
    <w:rsid w:val="007D2789"/>
    <w:rsid w:val="007F748C"/>
    <w:rsid w:val="00826C39"/>
    <w:rsid w:val="008340D0"/>
    <w:rsid w:val="00841D9F"/>
    <w:rsid w:val="008523B8"/>
    <w:rsid w:val="00867D70"/>
    <w:rsid w:val="00887C56"/>
    <w:rsid w:val="0089306E"/>
    <w:rsid w:val="008A0E25"/>
    <w:rsid w:val="008A11D6"/>
    <w:rsid w:val="0095362C"/>
    <w:rsid w:val="00953EDD"/>
    <w:rsid w:val="0097058A"/>
    <w:rsid w:val="00982112"/>
    <w:rsid w:val="009905FB"/>
    <w:rsid w:val="0099068C"/>
    <w:rsid w:val="00991B86"/>
    <w:rsid w:val="00996112"/>
    <w:rsid w:val="00997EAD"/>
    <w:rsid w:val="009B73FA"/>
    <w:rsid w:val="009F03C5"/>
    <w:rsid w:val="00A014E0"/>
    <w:rsid w:val="00A07279"/>
    <w:rsid w:val="00A17C04"/>
    <w:rsid w:val="00A45A6A"/>
    <w:rsid w:val="00A52699"/>
    <w:rsid w:val="00A711C6"/>
    <w:rsid w:val="00A97206"/>
    <w:rsid w:val="00AA2A19"/>
    <w:rsid w:val="00AB58FF"/>
    <w:rsid w:val="00AD4192"/>
    <w:rsid w:val="00AD57E7"/>
    <w:rsid w:val="00AF7A16"/>
    <w:rsid w:val="00B06215"/>
    <w:rsid w:val="00B12B23"/>
    <w:rsid w:val="00B2472E"/>
    <w:rsid w:val="00B26F63"/>
    <w:rsid w:val="00B5380F"/>
    <w:rsid w:val="00B64BCB"/>
    <w:rsid w:val="00B93B85"/>
    <w:rsid w:val="00B956ED"/>
    <w:rsid w:val="00BB580A"/>
    <w:rsid w:val="00BD520E"/>
    <w:rsid w:val="00BD5AB5"/>
    <w:rsid w:val="00C05F90"/>
    <w:rsid w:val="00C06CAE"/>
    <w:rsid w:val="00C81033"/>
    <w:rsid w:val="00C8631B"/>
    <w:rsid w:val="00CC1723"/>
    <w:rsid w:val="00CD07D3"/>
    <w:rsid w:val="00CD27BB"/>
    <w:rsid w:val="00D0247A"/>
    <w:rsid w:val="00D2135E"/>
    <w:rsid w:val="00D21D8E"/>
    <w:rsid w:val="00D45E45"/>
    <w:rsid w:val="00D52726"/>
    <w:rsid w:val="00D56262"/>
    <w:rsid w:val="00D562EF"/>
    <w:rsid w:val="00D616FC"/>
    <w:rsid w:val="00D656D3"/>
    <w:rsid w:val="00D93386"/>
    <w:rsid w:val="00D95B1C"/>
    <w:rsid w:val="00DC0AC8"/>
    <w:rsid w:val="00DE7273"/>
    <w:rsid w:val="00DF50A4"/>
    <w:rsid w:val="00DF674A"/>
    <w:rsid w:val="00E07901"/>
    <w:rsid w:val="00E2464F"/>
    <w:rsid w:val="00E638E4"/>
    <w:rsid w:val="00E71553"/>
    <w:rsid w:val="00E71D3F"/>
    <w:rsid w:val="00E72FBE"/>
    <w:rsid w:val="00E9054E"/>
    <w:rsid w:val="00E91995"/>
    <w:rsid w:val="00E97052"/>
    <w:rsid w:val="00EA3EFD"/>
    <w:rsid w:val="00EB5DE3"/>
    <w:rsid w:val="00ED54B5"/>
    <w:rsid w:val="00EE2BA8"/>
    <w:rsid w:val="00EF0C30"/>
    <w:rsid w:val="00EF6BD4"/>
    <w:rsid w:val="00F20059"/>
    <w:rsid w:val="00F21CFA"/>
    <w:rsid w:val="00F309A7"/>
    <w:rsid w:val="00F32BBD"/>
    <w:rsid w:val="00F47926"/>
    <w:rsid w:val="00F55FA0"/>
    <w:rsid w:val="00F620DB"/>
    <w:rsid w:val="00F96703"/>
    <w:rsid w:val="00FD3525"/>
    <w:rsid w:val="01D51211"/>
    <w:rsid w:val="06477EB4"/>
    <w:rsid w:val="0AFB196D"/>
    <w:rsid w:val="0E594844"/>
    <w:rsid w:val="128D1B63"/>
    <w:rsid w:val="1E517941"/>
    <w:rsid w:val="4EF174AB"/>
    <w:rsid w:val="56F94A8A"/>
    <w:rsid w:val="7D92217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kern w:val="0"/>
      <w:sz w:val="24"/>
      <w:szCs w:val="24"/>
    </w:rPr>
  </w:style>
  <w:style w:type="character" w:styleId="8">
    <w:name w:val="Strong"/>
    <w:basedOn w:val="7"/>
    <w:qFormat/>
    <w:locked/>
    <w:uiPriority w:val="0"/>
    <w:rPr>
      <w:b/>
    </w:rPr>
  </w:style>
  <w:style w:type="character" w:styleId="9">
    <w:name w:val="Hyperlink"/>
    <w:basedOn w:val="7"/>
    <w:qFormat/>
    <w:uiPriority w:val="99"/>
    <w:rPr>
      <w:color w:val="0000FF"/>
      <w:u w:val="single"/>
    </w:rPr>
  </w:style>
  <w:style w:type="paragraph" w:customStyle="1" w:styleId="11">
    <w:name w:val="Char Char Char Char Char Char"/>
    <w:basedOn w:val="1"/>
    <w:qFormat/>
    <w:uiPriority w:val="99"/>
    <w:pPr>
      <w:numPr>
        <w:ilvl w:val="0"/>
        <w:numId w:val="1"/>
      </w:numPr>
      <w:tabs>
        <w:tab w:val="left" w:pos="360"/>
      </w:tabs>
    </w:pPr>
    <w:rPr>
      <w:rFonts w:ascii="Times New Roman" w:hAnsi="Times New Roman" w:cs="Times New Roman"/>
    </w:rPr>
  </w:style>
  <w:style w:type="character" w:customStyle="1" w:styleId="12">
    <w:name w:val="日期 Char"/>
    <w:basedOn w:val="7"/>
    <w:link w:val="2"/>
    <w:semiHidden/>
    <w:qFormat/>
    <w:locked/>
    <w:uiPriority w:val="99"/>
    <w:rPr>
      <w:rFonts w:ascii="Calibri" w:hAnsi="Calibri" w:cs="Calibri"/>
      <w:sz w:val="21"/>
      <w:szCs w:val="21"/>
    </w:rPr>
  </w:style>
  <w:style w:type="character" w:customStyle="1" w:styleId="13">
    <w:name w:val="批注框文本 Char"/>
    <w:basedOn w:val="7"/>
    <w:link w:val="3"/>
    <w:semiHidden/>
    <w:qFormat/>
    <w:locked/>
    <w:uiPriority w:val="99"/>
    <w:rPr>
      <w:rFonts w:ascii="Calibri" w:hAnsi="Calibri" w:cs="Calibri"/>
      <w:sz w:val="2"/>
      <w:szCs w:val="2"/>
    </w:rPr>
  </w:style>
  <w:style w:type="character" w:customStyle="1" w:styleId="14">
    <w:name w:val="页眉 Char"/>
    <w:basedOn w:val="7"/>
    <w:link w:val="5"/>
    <w:qFormat/>
    <w:locked/>
    <w:uiPriority w:val="99"/>
    <w:rPr>
      <w:rFonts w:ascii="Calibri" w:hAnsi="Calibri" w:eastAsia="宋体" w:cs="Calibri"/>
      <w:sz w:val="18"/>
      <w:szCs w:val="18"/>
      <w:lang w:val="en-US" w:eastAsia="zh-CN"/>
    </w:rPr>
  </w:style>
  <w:style w:type="character" w:customStyle="1" w:styleId="15">
    <w:name w:val="页脚 Char"/>
    <w:basedOn w:val="7"/>
    <w:link w:val="4"/>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812</Words>
  <Characters>4634</Characters>
  <Lines>38</Lines>
  <Paragraphs>10</Paragraphs>
  <TotalTime>33</TotalTime>
  <ScaleCrop>false</ScaleCrop>
  <LinksUpToDate>false</LinksUpToDate>
  <CharactersWithSpaces>5436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2018-11-28T04:10:00Z</dcterms:created>
  <dc:creator>Cree</dc:creator>
  <cp:lastModifiedBy>深海鱼</cp:lastModifiedBy>
  <cp:lastPrinted>2018-11-28T06:47:00Z</cp:lastPrinted>
  <dcterms:modified xsi:type="dcterms:W3CDTF">2018-12-03T03:28:26Z</dcterms:modified>
  <dc:title>关于组织国家重点研发计划战略性国际科技创新合作重点专项2016年度申报工作的通  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