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山东省高等学校协同创新中心绩效评价指标及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计分表</w:t>
      </w:r>
    </w:p>
    <w:p>
      <w:pPr>
        <w:spacing w:line="440" w:lineRule="exact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汉仪书宋一简" w:hAnsi="宋体" w:eastAsia="汉仪书宋一简" w:cs="宋体"/>
          <w:kern w:val="0"/>
          <w:sz w:val="20"/>
          <w:szCs w:val="20"/>
        </w:rPr>
        <w:t>中心名称：                   牵头高校：     （盖    章）</w:t>
      </w:r>
    </w:p>
    <w:tbl>
      <w:tblPr>
        <w:tblStyle w:val="7"/>
        <w:tblW w:w="100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589"/>
        <w:gridCol w:w="1134"/>
        <w:gridCol w:w="565"/>
        <w:gridCol w:w="5136"/>
        <w:gridCol w:w="852"/>
        <w:gridCol w:w="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5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评  价  标  准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评价得分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tblHeader/>
          <w:jc w:val="center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一、建设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成效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70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A1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体制机制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改革及运行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 体制机制改革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中心体制机制进行了改革，各项制度健全并实施,“政产学研金服用”相结合的协同创新体系完善。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6-5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中心体制机制进行了改革，各项制度比较健全并实施，“政产学研金服用”相结合的协同创新体系相对完善。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4-3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中心进行了体制机制改革方面探索，各项制度有待健全，“政产学研金服用”相结合的协同创新体系有待完善。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B2 运行情况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中心组织管理机构健全，运行模式科学，运转良好，适合协同创新中心发展的需要。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4-3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中心组织管理机构基本健全，运行模式比较科学，运转比较好，基本适合协同创新中心发展的需要。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中心组织管理机构不够健全，运行模式有待完善，运转一般，不能满足协同创新中心发展的需要。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A2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科研创新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B3 科研项目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承担的项目层次高，科研经费充足。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承担的项目层次较高，科研经费比较充足。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B4 科研成果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获国家、省部级科研奖励数量多。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获国家、省部级科研奖励数量一般。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B5 创新水平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突破了重大理论、科学问题或关键核心技术，在国内外产生了重大影响。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在重大理论、科学问题或关键核心技术方面有较大创新，在国内产生了一定影响。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5-3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在重大理论、科学问题或关键核心技术方面有创新。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A3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学科发展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B6 学科融合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中心依托学校优势学科建立，多学科集成，融合好。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中心依托学校优势学科建立，多学科集成，融合较好。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中心依托学校优势学科建立，多学科集成，但融合一般。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B7 主体学科发展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新建成一流学科。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16"/>
                <w:szCs w:val="16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6"/>
                <w:szCs w:val="16"/>
              </w:rPr>
              <w:t>A3学科发展指标整体计6分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中心依托主体学科水平有显著提升，带动相关学科发展，促进了交叉和新兴学科的发展。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中心依托主体学科水平有提升，带动相关学科发展。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中心依托主体学科水平提升不明显。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A4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队伍建设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B8 整体情况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首席科学家、骨干人员和研究、管理团队聘任到位，人员规模适度，结构合理。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首席科学家、骨干人员和研究、管理团队聘任基本到位，人员规模适度，结构比较合理。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首席科学家、骨干人员和研究、管理团队聘任没有到位，人员规模较小，结构不合理。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B9 队伍水平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中心首席科学家在国内外学术界有较大影响力，骨干研究人员和研究团队水平高、实力强。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中心首席科学家在国内学术界有较大影响力，骨干研究人员和研究团队水平较高。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中心首席科学家在国内学术界有一定影响力，骨干研究人员和研究团队水平一般。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A5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人才培养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B10 拔尖人才培养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中心制定并实施了国内外优秀中青年人才吸引与培养计划，效果显著。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中心制定并实施了国内外优秀中青年人才吸引与培养计划，效果比较显著。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中心制定并实施了国内外优秀中青年人才吸引与培养计划，效果一般。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B11 学生培养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培养的研究生发表论文多、水平高，申请（授权）专利多。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培养的研究生发表论文较多、水平较高，申请（授权）专利较多。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A6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国内外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合作交流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B12 学术交流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举办（参加）的学术会议多、水平高，邀请的指导专家层次高、效果好。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举办（参加）的学术会议较多、水平较高，邀请的指导专家层次较高、效果较好。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B13 合作研究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与境外科研机构合作研究项目多，效果好。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与境外科研机构合作研究项目较多，效果较好。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A7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经济社会服务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与贡献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B14 成果转移转化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机构健全，运作良好，人员配备齐整，取得的标志性成果多、水平高，转移转化成果效率高、数量多。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有成果转移转化机构，配备专职人员，取得的标志性成果较多、水平较高，转移转化成果效率高、数量较多。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4-3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转移转化成果效率一般、数量一般。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转移转化成果效率较低、数量较少。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B15 服务新旧动能转换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服务山东省新旧动能转换，在推进新技术、新产业、新业态、新模式，实现产业智慧化、智慧产业化、跨界融合化、品牌高端化方面成效突出。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-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服务山东省新旧动能转换，在推进新技术、新产业、新业态、新模式，实现产业智慧化、智慧产业化、跨界融合化、品牌高端化方面成效较好。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-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服务山东省新旧动能转换，在推进新技术、新产业、新业态、新模式，实现产业智慧化、智慧产业化、跨界融合化、品牌高端化方面成效一般。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服务山东省新旧动能转换，在推进新技术、新产业、新业态、新模式，实现产业智慧化、智慧产业化、跨界融合化、品牌高端化方面成效较差。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B16 经济社会效益 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经济社会效益显著，提升了产业竞争力，带动了相关产业发展，制定政策法规、发展规划、行业标准被地市级及以上党委政府或部门采纳。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10-8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经济社会效益比较显著，产业竞争力得到一定提升，一定程度上带动了相关产业发展，制定政策法规、发展规划、行业标准被县级党委政府或部门采纳。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7-4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经济社会效益一般，产业竞争力提升不明显，制定政策法规、发展规划、行业标准被行业采纳。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经济社会效益较差。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B17校企合作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企业与牵头高等学校已有长期合作并已形成完善的协同创新机制。针对企业技术需求，已开展行业应用技术研究及产品开发，且有较大经济社会效益。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企业与牵头高等学校已有合作基础并已形成协同创新机制。针对企业技术需求，已开展行业应用技术研究及产品开发，且有一定的经济社会效益。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4-3</w:t>
            </w: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企业与牵头高等学校的协同创新机制初步形成。针对企业技术需求，已开展行业应用技术研究及产品开发。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二、保障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措施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A8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条件建设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条件建设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科研环境好，能够满足工作需要。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-3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科研环境较好，基本满足工作需要。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-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A9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资源融合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B1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资源融合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实现了协同创新体内基地、平台、装备等资源的充分整合、协同管理和资源共享。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9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-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基本实现了协同创新体内基地、平台、装备等资源的整合、协同管理和资源共享。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-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协同创新体内基地、平台、装备等资源的整合、协同管理和资源共享等有待加强。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3-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A10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经费筹措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经费筹措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协同创新体各方均有投入，中心经费充足。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协同创新体各方均有投入，中心经费比较充足。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0"/>
                <w:szCs w:val="20"/>
              </w:rPr>
              <w:t>三、组织管理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A11          设备购置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B2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使用效益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设备利用率高、发挥效益充分（该指标重点考核单价10万元以上的设备）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设备利用率总体较高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2-1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设备利用率不高，闲置现象比较严重。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A12          经费管理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B2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省财政资金使用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有专门的资金管理和绩效评价办法，内控管理措施和制度完善，专款专用，实行单独核算，入账及时、准确。资金使用符合资金管理办法规定，不存在挤占挪用问题,支出计划全部完成，无结余结转资金。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内控管理措施和制度不完善，存在明显薄弱环节。省财政资金使用不符合资金管理办法规定，存在挤占挪用问题,支出计划未完成，有结余结转资金。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汉仪书宋一简" w:hAnsi="宋体" w:eastAsia="汉仪书宋一简" w:cs="宋体"/>
                <w:kern w:val="0"/>
                <w:sz w:val="18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20"/>
              </w:rPr>
              <w:t>A12经费管理</w:t>
            </w:r>
          </w:p>
          <w:p>
            <w:pPr>
              <w:widowControl/>
              <w:spacing w:line="220" w:lineRule="exact"/>
              <w:jc w:val="center"/>
              <w:rPr>
                <w:rFonts w:ascii="汉仪书宋一简" w:hAnsi="宋体" w:eastAsia="汉仪书宋一简" w:cs="宋体"/>
                <w:kern w:val="0"/>
                <w:sz w:val="18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20"/>
              </w:rPr>
              <w:t>指标</w:t>
            </w:r>
            <w:r>
              <w:rPr>
                <w:rFonts w:ascii="汉仪书宋一简" w:hAnsi="宋体" w:eastAsia="汉仪书宋一简" w:cs="宋体"/>
                <w:kern w:val="0"/>
                <w:sz w:val="18"/>
                <w:szCs w:val="20"/>
              </w:rPr>
              <w:t>整体计</w:t>
            </w: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20"/>
              </w:rPr>
              <w:t>0分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B2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省财政资金预算执行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9月底前省财政资金支出达到计划的80%及以上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9月底前省财政资金支出达到计划的75%及以上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9月底前省财政资金支出达到计划的70%及以上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9月底前省财政资金支出达不到计划的70%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A13          资产管理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B2</w:t>
            </w:r>
            <w:r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 xml:space="preserve"> 资产管理情况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应纳入学校固定资产管理的资产及时纳入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18"/>
                <w:szCs w:val="18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18"/>
                <w:szCs w:val="18"/>
              </w:rPr>
              <w:t>应纳入学校固定资产管理的资产未能及时纳入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0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41" w:right="1531" w:bottom="1985" w:left="1531" w:header="851" w:footer="1644" w:gutter="0"/>
      <w:cols w:space="425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微软雅黑"/>
    <w:panose1 w:val="00000000000000000000"/>
    <w:charset w:val="7A"/>
    <w:family w:val="modern"/>
    <w:pitch w:val="default"/>
    <w:sig w:usb0="00000000" w:usb1="00000000" w:usb2="00000012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E28"/>
    <w:rsid w:val="00107AE5"/>
    <w:rsid w:val="001A320F"/>
    <w:rsid w:val="002C66FC"/>
    <w:rsid w:val="00415030"/>
    <w:rsid w:val="00737FD0"/>
    <w:rsid w:val="009748BC"/>
    <w:rsid w:val="00E97E28"/>
    <w:rsid w:val="068024F8"/>
    <w:rsid w:val="12FA439B"/>
    <w:rsid w:val="78344390"/>
    <w:rsid w:val="7D6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脚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1 Char Char1 Char Char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1358</Words>
  <Characters>7747</Characters>
  <Lines>64</Lines>
  <Paragraphs>18</Paragraphs>
  <TotalTime>12</TotalTime>
  <ScaleCrop>false</ScaleCrop>
  <LinksUpToDate>false</LinksUpToDate>
  <CharactersWithSpaces>9087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2019-09-09T07:30:00Z</dcterms:created>
  <dc:creator>王勇(科技处)</dc:creator>
  <cp:lastModifiedBy>LYL</cp:lastModifiedBy>
  <dcterms:modified xsi:type="dcterms:W3CDTF">2019-09-16T08:46:57Z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