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黑体" w:eastAsia="黑体"/>
          <w:sz w:val="32"/>
          <w:szCs w:val="32"/>
        </w:rPr>
      </w:pPr>
      <w:r>
        <w:rPr>
          <w:rFonts w:hint="eastAsia" w:ascii="黑体" w:eastAsia="黑体"/>
          <w:sz w:val="32"/>
          <w:szCs w:val="32"/>
        </w:rPr>
        <w:t>山东省科学技术奖公示材料</w:t>
      </w:r>
    </w:p>
    <w:p/>
    <w:p>
      <w:pPr>
        <w:rPr>
          <w:rFonts w:ascii="黑体" w:eastAsia="黑体"/>
          <w:sz w:val="28"/>
          <w:szCs w:val="28"/>
        </w:rPr>
      </w:pPr>
      <w:r>
        <w:rPr>
          <w:rFonts w:hint="eastAsia" w:ascii="黑体" w:eastAsia="黑体"/>
          <w:sz w:val="28"/>
          <w:szCs w:val="28"/>
        </w:rPr>
        <w:t>一、项目名称：茶树抗寒机理及配套栽培技术研究与应用</w:t>
      </w:r>
    </w:p>
    <w:p>
      <w:pPr>
        <w:rPr>
          <w:rFonts w:ascii="黑体" w:eastAsia="黑体"/>
          <w:sz w:val="28"/>
          <w:szCs w:val="28"/>
        </w:rPr>
      </w:pPr>
      <w:r>
        <w:rPr>
          <w:rFonts w:hint="eastAsia" w:ascii="黑体" w:eastAsia="黑体"/>
          <w:sz w:val="28"/>
          <w:szCs w:val="28"/>
        </w:rPr>
        <w:t>二、推荐单位意见：</w:t>
      </w:r>
    </w:p>
    <w:p>
      <w:pPr>
        <w:snapToGrid w:val="0"/>
        <w:spacing w:line="360" w:lineRule="auto"/>
        <w:ind w:firstLine="420" w:firstLineChars="200"/>
        <w:rPr>
          <w:rFonts w:ascii="宋体" w:hAnsi="宋体"/>
          <w:kern w:val="0"/>
          <w:szCs w:val="21"/>
        </w:rPr>
      </w:pPr>
      <w:r>
        <w:rPr>
          <w:rFonts w:hint="eastAsia" w:ascii="宋体" w:hAnsi="宋体"/>
          <w:kern w:val="0"/>
          <w:szCs w:val="21"/>
        </w:rPr>
        <w:t>经审核，项目申报材料符合申报规范，具备申报条件，同意申报省科技进步奖。</w:t>
      </w:r>
    </w:p>
    <w:p>
      <w:pPr>
        <w:snapToGrid w:val="0"/>
        <w:spacing w:line="360" w:lineRule="auto"/>
        <w:ind w:firstLine="480"/>
        <w:rPr>
          <w:rFonts w:ascii="宋体" w:hAnsi="宋体"/>
          <w:color w:val="000000"/>
          <w:kern w:val="0"/>
          <w:szCs w:val="21"/>
        </w:rPr>
      </w:pPr>
      <w:r>
        <w:rPr>
          <w:rFonts w:hint="eastAsia" w:ascii="宋体" w:hAnsi="宋体"/>
          <w:color w:val="000000"/>
          <w:kern w:val="0"/>
          <w:szCs w:val="21"/>
        </w:rPr>
        <w:t>茶叶据世界三大无酒精饮料之首，原产于我国云贵高原，属于冷敏感植物，具有喜温喜湿的生物学特性。但在我国江北茶区，由于生态条件的限制，茶树常常遭受低温和冻害胁迫，严重影响茶树的生存和产量与品质。为此，课题组自2008年开始，历时8年，在国家及省有关课题的支持下，利用系统生物学多组学技术手段，研究了茶树叶片响应低温胁迫的转录组、小分子RNA、蛋白组和代谢物谱的表达特性，揭示了茶树抗寒的分子机理，并通过边研究边实践，提出了</w:t>
      </w:r>
      <w:r>
        <w:rPr>
          <w:rFonts w:hint="eastAsia" w:ascii="宋体" w:hAnsi="宋体"/>
          <w:color w:val="000000"/>
          <w:szCs w:val="21"/>
        </w:rPr>
        <w:t>以改善生态环境、促进碳水化合物积累、降低消耗为主的</w:t>
      </w:r>
      <w:r>
        <w:rPr>
          <w:rFonts w:hint="eastAsia" w:ascii="宋体" w:hAnsi="宋体" w:cs="华文楷体"/>
          <w:color w:val="000000"/>
          <w:kern w:val="0"/>
          <w:szCs w:val="21"/>
        </w:rPr>
        <w:t>“选、养、保”</w:t>
      </w:r>
      <w:r>
        <w:rPr>
          <w:rFonts w:hint="eastAsia" w:ascii="宋体" w:hAnsi="宋体"/>
          <w:color w:val="000000"/>
          <w:szCs w:val="21"/>
        </w:rPr>
        <w:t>抗寒防护技术体系，</w:t>
      </w:r>
      <w:r>
        <w:rPr>
          <w:rFonts w:hint="eastAsia" w:ascii="宋体" w:hAnsi="宋体"/>
          <w:color w:val="000000"/>
          <w:kern w:val="0"/>
          <w:szCs w:val="21"/>
        </w:rPr>
        <w:t>并进行了大面积推广应用。项目获授权发明专利5项，实用新型专利2项，计算机软件著作权5项；制定了省级地方标准与企业技术规范5部；出版英文专著1部，在国内外核心期刊发表论文36篇，其中SCI收录12篇，完成硕士学位论文15部。</w:t>
      </w:r>
    </w:p>
    <w:p>
      <w:pPr>
        <w:snapToGrid w:val="0"/>
        <w:spacing w:line="360" w:lineRule="auto"/>
        <w:ind w:left="-2" w:firstLine="422" w:firstLineChars="201"/>
        <w:rPr>
          <w:rFonts w:hint="eastAsia" w:ascii="宋体" w:hAnsi="宋体"/>
          <w:kern w:val="0"/>
          <w:szCs w:val="21"/>
        </w:rPr>
      </w:pPr>
      <w:r>
        <w:rPr>
          <w:rFonts w:hint="eastAsia" w:ascii="宋体" w:hAnsi="宋体"/>
          <w:color w:val="000000"/>
          <w:kern w:val="0"/>
          <w:szCs w:val="21"/>
        </w:rPr>
        <w:t>项目奠定了茶树抗寒生理与分子生物学理论基础，攻克了北方茶树安全越冬重大技术难题，推动了北方茶叶的可持续发展，提升了山东省茶产业的市场竞争力。2008-2015年项目技术在在日照、临沂、泰安、青岛、威海、烟台等地建立试验示范基地22处，累计8年推广面积140余万亩，累计创经济效益 8.5亿元以上。</w:t>
      </w:r>
      <w:r>
        <w:rPr>
          <w:rFonts w:hint="eastAsia" w:ascii="宋体" w:hAnsi="宋体"/>
          <w:kern w:val="0"/>
          <w:szCs w:val="21"/>
        </w:rPr>
        <w:t xml:space="preserve"> </w:t>
      </w:r>
    </w:p>
    <w:p>
      <w:pPr>
        <w:snapToGrid w:val="0"/>
        <w:spacing w:line="360" w:lineRule="auto"/>
        <w:ind w:left="-2" w:firstLine="422" w:firstLineChars="201"/>
      </w:pPr>
      <w:r>
        <w:rPr>
          <w:rFonts w:hint="eastAsia" w:ascii="宋体" w:hAnsi="宋体"/>
          <w:kern w:val="0"/>
          <w:szCs w:val="21"/>
        </w:rPr>
        <w:t>经单位公示，材料内容属实，完成单位、完成人排序无异议。特此推荐山东省科技进步一等奖。</w:t>
      </w:r>
    </w:p>
    <w:p>
      <w:pPr>
        <w:rPr>
          <w:rFonts w:ascii="黑体" w:eastAsia="黑体"/>
          <w:sz w:val="28"/>
          <w:szCs w:val="28"/>
        </w:rPr>
      </w:pPr>
      <w:r>
        <w:rPr>
          <w:rFonts w:hint="eastAsia" w:ascii="黑体" w:eastAsia="黑体"/>
          <w:sz w:val="28"/>
          <w:szCs w:val="28"/>
        </w:rPr>
        <w:t>三、项目简介：</w:t>
      </w:r>
    </w:p>
    <w:p>
      <w:pPr>
        <w:snapToGrid w:val="0"/>
        <w:spacing w:line="360" w:lineRule="auto"/>
        <w:ind w:firstLine="420" w:firstLineChars="200"/>
        <w:rPr>
          <w:rFonts w:ascii="宋体" w:hAnsi="宋体"/>
          <w:color w:val="000000"/>
          <w:kern w:val="0"/>
          <w:szCs w:val="21"/>
        </w:rPr>
      </w:pPr>
      <w:r>
        <w:rPr>
          <w:rFonts w:hint="eastAsia" w:ascii="宋体" w:hAnsi="宋体"/>
          <w:color w:val="000000"/>
          <w:kern w:val="0"/>
          <w:szCs w:val="21"/>
        </w:rPr>
        <w:t>本项目属于林业科学技术领域茶学学科茶树生理生态与分子生物学。</w:t>
      </w:r>
    </w:p>
    <w:p>
      <w:pPr>
        <w:snapToGrid w:val="0"/>
        <w:spacing w:line="360" w:lineRule="auto"/>
        <w:ind w:firstLine="420" w:firstLineChars="200"/>
        <w:rPr>
          <w:rFonts w:ascii="宋体" w:hAnsi="宋体"/>
          <w:color w:val="000000"/>
          <w:kern w:val="0"/>
          <w:szCs w:val="21"/>
        </w:rPr>
      </w:pPr>
      <w:bookmarkStart w:id="0" w:name="OLE_LINK19"/>
      <w:r>
        <w:rPr>
          <w:rFonts w:hint="eastAsia" w:ascii="宋体" w:hAnsi="宋体"/>
          <w:color w:val="000000"/>
          <w:kern w:val="0"/>
          <w:szCs w:val="21"/>
        </w:rPr>
        <w:t>山东是我国纬度最高、经济效益突出和品质优良的产茶区，冻害是影响山东茶产业健康发展的首要因素。</w:t>
      </w:r>
      <w:r>
        <w:rPr>
          <w:rFonts w:ascii="宋体" w:hAnsi="宋体"/>
          <w:color w:val="000000"/>
          <w:kern w:val="0"/>
          <w:szCs w:val="21"/>
        </w:rPr>
        <w:t>针对</w:t>
      </w:r>
      <w:r>
        <w:rPr>
          <w:rFonts w:hint="eastAsia" w:ascii="宋体" w:hAnsi="宋体"/>
          <w:color w:val="000000"/>
          <w:kern w:val="0"/>
          <w:szCs w:val="21"/>
        </w:rPr>
        <w:t>茶树抗寒机理</w:t>
      </w:r>
      <w:r>
        <w:rPr>
          <w:rFonts w:ascii="宋体" w:hAnsi="宋体"/>
          <w:color w:val="000000"/>
          <w:kern w:val="0"/>
          <w:szCs w:val="21"/>
        </w:rPr>
        <w:t>研究薄弱、</w:t>
      </w:r>
      <w:r>
        <w:rPr>
          <w:rFonts w:hint="eastAsia" w:ascii="宋体" w:hAnsi="宋体"/>
          <w:color w:val="000000"/>
          <w:kern w:val="0"/>
          <w:szCs w:val="21"/>
        </w:rPr>
        <w:t>配套</w:t>
      </w:r>
      <w:r>
        <w:rPr>
          <w:rFonts w:ascii="宋体" w:hAnsi="宋体"/>
          <w:color w:val="000000"/>
          <w:kern w:val="0"/>
          <w:szCs w:val="21"/>
        </w:rPr>
        <w:t>栽培技术</w:t>
      </w:r>
      <w:r>
        <w:rPr>
          <w:rFonts w:hint="eastAsia" w:ascii="宋体" w:hAnsi="宋体"/>
          <w:color w:val="000000"/>
          <w:kern w:val="0"/>
          <w:szCs w:val="21"/>
        </w:rPr>
        <w:t>不完善</w:t>
      </w:r>
      <w:r>
        <w:rPr>
          <w:rFonts w:ascii="宋体" w:hAnsi="宋体"/>
          <w:color w:val="000000"/>
          <w:kern w:val="0"/>
          <w:szCs w:val="21"/>
        </w:rPr>
        <w:t>、</w:t>
      </w:r>
      <w:r>
        <w:rPr>
          <w:rFonts w:hint="eastAsia" w:ascii="宋体" w:hAnsi="宋体"/>
          <w:color w:val="000000"/>
          <w:kern w:val="0"/>
          <w:szCs w:val="21"/>
        </w:rPr>
        <w:t>标准化</w:t>
      </w:r>
      <w:r>
        <w:rPr>
          <w:rFonts w:ascii="宋体" w:hAnsi="宋体"/>
          <w:color w:val="000000"/>
          <w:kern w:val="0"/>
          <w:szCs w:val="21"/>
        </w:rPr>
        <w:t>水平低等突出问题,</w:t>
      </w:r>
      <w:r>
        <w:rPr>
          <w:rFonts w:hint="eastAsia" w:ascii="宋体" w:hAnsi="宋体"/>
          <w:color w:val="000000"/>
          <w:kern w:val="0"/>
          <w:szCs w:val="21"/>
        </w:rPr>
        <w:t>课题组</w:t>
      </w:r>
      <w:r>
        <w:rPr>
          <w:rFonts w:ascii="宋体" w:hAnsi="宋体"/>
          <w:color w:val="000000"/>
          <w:kern w:val="0"/>
          <w:szCs w:val="21"/>
        </w:rPr>
        <w:t>历经</w:t>
      </w:r>
      <w:r>
        <w:rPr>
          <w:rFonts w:hint="eastAsia" w:ascii="宋体" w:hAnsi="宋体"/>
          <w:color w:val="000000"/>
          <w:kern w:val="0"/>
          <w:szCs w:val="21"/>
        </w:rPr>
        <w:t>8</w:t>
      </w:r>
      <w:r>
        <w:rPr>
          <w:rFonts w:ascii="宋体" w:hAnsi="宋体"/>
          <w:color w:val="000000"/>
          <w:kern w:val="0"/>
          <w:szCs w:val="21"/>
        </w:rPr>
        <w:t>年系统研究,主要创新如下</w:t>
      </w:r>
      <w:r>
        <w:rPr>
          <w:rFonts w:hint="eastAsia" w:ascii="宋体" w:hAnsi="宋体"/>
          <w:color w:val="000000"/>
          <w:kern w:val="0"/>
          <w:szCs w:val="21"/>
        </w:rPr>
        <w:t>：</w:t>
      </w:r>
      <w:r>
        <w:rPr>
          <w:rFonts w:ascii="宋体" w:hAnsi="宋体"/>
          <w:color w:val="000000"/>
          <w:kern w:val="0"/>
          <w:szCs w:val="21"/>
        </w:rPr>
        <w:t xml:space="preserve"> </w:t>
      </w:r>
      <w:bookmarkEnd w:id="0"/>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25"/>
        <w:jc w:val="left"/>
        <w:rPr>
          <w:rFonts w:ascii="宋体" w:hAnsi="宋体" w:cs="华文楷体"/>
          <w:color w:val="000000"/>
          <w:kern w:val="0"/>
          <w:szCs w:val="21"/>
        </w:rPr>
      </w:pPr>
      <w:r>
        <w:rPr>
          <w:rFonts w:ascii="黑体" w:hAnsi="黑体" w:eastAsia="黑体" w:cs="华文楷体"/>
          <w:color w:val="000000"/>
          <w:kern w:val="0"/>
          <w:sz w:val="24"/>
        </w:rPr>
        <w:t>1、</w:t>
      </w:r>
      <w:r>
        <w:rPr>
          <w:rFonts w:hint="eastAsia" w:ascii="黑体" w:hAnsi="黑体" w:eastAsia="黑体"/>
          <w:color w:val="000000"/>
          <w:kern w:val="0"/>
          <w:sz w:val="24"/>
        </w:rPr>
        <w:t>阐明了茶树对低温胁迫的早期响应机制</w:t>
      </w:r>
      <w:r>
        <w:rPr>
          <w:rFonts w:hint="eastAsia" w:ascii="黑体" w:hAnsi="黑体" w:eastAsia="黑体" w:cs="华文楷体"/>
          <w:color w:val="000000"/>
          <w:kern w:val="0"/>
          <w:sz w:val="24"/>
        </w:rPr>
        <w:t>，完善了茶树抗寒生物学理论基础。</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25"/>
        <w:jc w:val="left"/>
        <w:rPr>
          <w:rFonts w:ascii="宋体" w:hAnsi="宋体" w:cs="华文楷体"/>
          <w:color w:val="000000"/>
          <w:kern w:val="0"/>
          <w:szCs w:val="21"/>
        </w:rPr>
      </w:pPr>
      <w:r>
        <w:rPr>
          <w:rFonts w:hint="eastAsia" w:ascii="宋体" w:hAnsi="宋体" w:cs="华文楷体"/>
          <w:color w:val="000000"/>
          <w:kern w:val="0"/>
          <w:szCs w:val="21"/>
        </w:rPr>
        <w:t>系统研究了茶树受到低温胁迫后在转录、翻译及代谢水平上等方面的变化，明确了茶树响应低温的基因调控网络及代谢物谱，挖掘出与</w:t>
      </w:r>
      <w:r>
        <w:rPr>
          <w:rFonts w:hint="eastAsia" w:ascii="宋体" w:hAnsi="宋体"/>
          <w:color w:val="000000"/>
          <w:kern w:val="0"/>
          <w:szCs w:val="21"/>
        </w:rPr>
        <w:t>低温逆境密切相关的小RNA及靶基因与转录因子、差异蛋白及差异代谢物，探明了</w:t>
      </w:r>
      <w:r>
        <w:rPr>
          <w:rFonts w:hint="eastAsia" w:ascii="宋体" w:hAnsi="宋体" w:cs="华文楷体"/>
          <w:color w:val="000000"/>
          <w:kern w:val="0"/>
          <w:szCs w:val="21"/>
        </w:rPr>
        <w:t>光合有关的蛋白质降解、糖酵解加快及三羧酸循环紊乱是响应低温胁迫的关键生物学通路，完善了茶树抗寒分子生物学理论基础。</w:t>
      </w:r>
      <w:r>
        <w:rPr>
          <w:rFonts w:ascii="宋体" w:hAnsi="宋体" w:cs="华文楷体"/>
          <w:color w:val="000000"/>
          <w:kern w:val="0"/>
          <w:szCs w:val="21"/>
        </w:rPr>
        <w:t xml:space="preserve"> </w:t>
      </w:r>
    </w:p>
    <w:p>
      <w:pPr>
        <w:spacing w:line="360" w:lineRule="auto"/>
        <w:ind w:firstLine="480" w:firstLineChars="200"/>
        <w:rPr>
          <w:rFonts w:ascii="黑体" w:hAnsi="黑体" w:eastAsia="黑体" w:cs="华文楷体"/>
          <w:kern w:val="0"/>
          <w:sz w:val="24"/>
        </w:rPr>
      </w:pPr>
      <w:r>
        <w:rPr>
          <w:rFonts w:ascii="黑体" w:hAnsi="黑体" w:eastAsia="黑体" w:cs="华文楷体"/>
          <w:kern w:val="0"/>
          <w:sz w:val="24"/>
        </w:rPr>
        <w:t>2、</w:t>
      </w:r>
      <w:r>
        <w:rPr>
          <w:rFonts w:hint="eastAsia" w:ascii="黑体" w:hAnsi="黑体" w:eastAsia="黑体" w:cs="华文楷体"/>
          <w:kern w:val="0"/>
          <w:sz w:val="24"/>
        </w:rPr>
        <w:t>揭示了不同茶树种质资源主要抗寒指标的变化规律，创建茶树抗寒种质资源鉴定评价体系。</w:t>
      </w:r>
      <w:bookmarkStart w:id="1" w:name="OLE_LINK4"/>
      <w:bookmarkStart w:id="2" w:name="OLE_LINK5"/>
    </w:p>
    <w:p>
      <w:pPr>
        <w:spacing w:line="360" w:lineRule="auto"/>
        <w:ind w:firstLine="420" w:firstLineChars="200"/>
        <w:rPr>
          <w:rFonts w:ascii="宋体" w:hAnsi="宋体"/>
          <w:bCs/>
          <w:iCs/>
          <w:color w:val="000000"/>
          <w:szCs w:val="21"/>
        </w:rPr>
      </w:pPr>
      <w:r>
        <w:rPr>
          <w:rFonts w:hint="eastAsia" w:ascii="宋体" w:hAnsi="宋体" w:cs="华文楷体"/>
          <w:color w:val="000000"/>
          <w:kern w:val="0"/>
          <w:szCs w:val="21"/>
        </w:rPr>
        <w:t>明确了</w:t>
      </w:r>
      <w:r>
        <w:rPr>
          <w:rFonts w:hint="eastAsia" w:ascii="宋体" w:hAnsi="宋体"/>
          <w:color w:val="000000"/>
          <w:szCs w:val="21"/>
        </w:rPr>
        <w:t>茶树抗寒转录因子</w:t>
      </w:r>
      <w:r>
        <w:rPr>
          <w:rFonts w:hint="eastAsia" w:ascii="宋体" w:hAnsi="宋体"/>
          <w:i/>
          <w:color w:val="000000"/>
          <w:szCs w:val="21"/>
        </w:rPr>
        <w:t>ICE1</w:t>
      </w:r>
      <w:r>
        <w:rPr>
          <w:rFonts w:hint="eastAsia" w:ascii="宋体" w:hAnsi="宋体"/>
          <w:color w:val="000000"/>
          <w:szCs w:val="21"/>
        </w:rPr>
        <w:t>、</w:t>
      </w:r>
      <w:r>
        <w:rPr>
          <w:rFonts w:hint="eastAsia" w:ascii="宋体" w:hAnsi="宋体"/>
          <w:i/>
          <w:color w:val="000000"/>
          <w:szCs w:val="21"/>
        </w:rPr>
        <w:t>CBF1</w:t>
      </w:r>
      <w:r>
        <w:rPr>
          <w:rFonts w:hint="eastAsia" w:ascii="宋体" w:hAnsi="宋体"/>
          <w:color w:val="000000"/>
          <w:szCs w:val="21"/>
        </w:rPr>
        <w:t>及</w:t>
      </w:r>
      <w:r>
        <w:rPr>
          <w:rFonts w:eastAsia="楷体_GB2312"/>
          <w:i/>
          <w:color w:val="000000"/>
          <w:kern w:val="0"/>
          <w:szCs w:val="21"/>
        </w:rPr>
        <w:t>CsSPDS</w:t>
      </w:r>
      <w:r>
        <w:rPr>
          <w:rFonts w:hint="eastAsia" w:eastAsia="楷体_GB2312"/>
          <w:i/>
          <w:color w:val="000000"/>
          <w:kern w:val="0"/>
          <w:szCs w:val="21"/>
        </w:rPr>
        <w:t>、</w:t>
      </w:r>
      <w:r>
        <w:rPr>
          <w:rFonts w:hint="eastAsia" w:eastAsia="楷体_GB2312"/>
          <w:i/>
          <w:color w:val="000000"/>
          <w:szCs w:val="21"/>
        </w:rPr>
        <w:t>CsGPAT</w:t>
      </w:r>
      <w:r>
        <w:rPr>
          <w:rFonts w:hint="eastAsia" w:eastAsia="楷体_GB2312"/>
          <w:color w:val="000000"/>
          <w:szCs w:val="21"/>
        </w:rPr>
        <w:t>、</w:t>
      </w:r>
      <w:r>
        <w:rPr>
          <w:rFonts w:hint="eastAsia" w:ascii="宋体" w:hAnsi="宋体"/>
          <w:color w:val="000000"/>
          <w:szCs w:val="21"/>
        </w:rPr>
        <w:t xml:space="preserve"> </w:t>
      </w:r>
      <w:r>
        <w:rPr>
          <w:i/>
          <w:iCs/>
          <w:color w:val="000000"/>
          <w:szCs w:val="21"/>
        </w:rPr>
        <w:t>CsSAD</w:t>
      </w:r>
      <w:r>
        <w:rPr>
          <w:rFonts w:hint="eastAsia"/>
          <w:i/>
          <w:iCs/>
          <w:color w:val="000000"/>
          <w:szCs w:val="21"/>
        </w:rPr>
        <w:t>、</w:t>
      </w:r>
      <w:r>
        <w:rPr>
          <w:rFonts w:ascii="宋体" w:hAnsi="宋体"/>
          <w:bCs/>
          <w:i/>
          <w:iCs/>
          <w:color w:val="000000"/>
          <w:szCs w:val="21"/>
        </w:rPr>
        <w:t xml:space="preserve">CsFAD7 </w:t>
      </w:r>
      <w:r>
        <w:rPr>
          <w:rFonts w:hint="eastAsia" w:ascii="宋体" w:hAnsi="宋体"/>
          <w:bCs/>
          <w:iCs/>
          <w:color w:val="000000"/>
          <w:szCs w:val="21"/>
        </w:rPr>
        <w:t>和</w:t>
      </w:r>
      <w:r>
        <w:rPr>
          <w:rFonts w:ascii="宋体" w:hAnsi="宋体"/>
          <w:bCs/>
          <w:i/>
          <w:iCs/>
          <w:color w:val="000000"/>
          <w:szCs w:val="21"/>
        </w:rPr>
        <w:t>CsFAD8</w:t>
      </w:r>
      <w:r>
        <w:rPr>
          <w:rFonts w:hint="eastAsia" w:ascii="宋体" w:hAnsi="宋体"/>
          <w:bCs/>
          <w:iCs/>
          <w:color w:val="000000"/>
          <w:szCs w:val="21"/>
        </w:rPr>
        <w:t>等基因在低温、干旱、机械损伤、ABA诱导条件下的组织与时空表达，克隆了其cDNA序列，并在GenBank注册新基因6个；</w:t>
      </w:r>
      <w:r>
        <w:rPr>
          <w:rFonts w:hint="eastAsia" w:ascii="宋体" w:hAnsi="宋体" w:cs="华文楷体"/>
          <w:color w:val="000000"/>
          <w:kern w:val="0"/>
          <w:szCs w:val="21"/>
        </w:rPr>
        <w:t>揭示了</w:t>
      </w:r>
      <w:bookmarkEnd w:id="1"/>
      <w:bookmarkEnd w:id="2"/>
      <w:r>
        <w:rPr>
          <w:rFonts w:hint="eastAsia" w:ascii="宋体" w:hAnsi="宋体" w:cs="华文楷体"/>
          <w:color w:val="000000"/>
          <w:kern w:val="0"/>
          <w:szCs w:val="21"/>
        </w:rPr>
        <w:t>不同茶树种质在低温胁迫下</w:t>
      </w:r>
      <w:r>
        <w:rPr>
          <w:rFonts w:hint="eastAsia" w:ascii="宋体" w:hAnsi="宋体"/>
          <w:color w:val="000000"/>
          <w:szCs w:val="21"/>
        </w:rPr>
        <w:t>活性氧代谢、脂肪酸积累、</w:t>
      </w:r>
      <w:r>
        <w:rPr>
          <w:rFonts w:hint="eastAsia" w:ascii="宋体" w:hAnsi="宋体"/>
          <w:color w:val="000000"/>
          <w:kern w:val="0"/>
          <w:szCs w:val="21"/>
        </w:rPr>
        <w:t>多胺代谢</w:t>
      </w:r>
      <w:r>
        <w:rPr>
          <w:rFonts w:hint="eastAsia" w:ascii="宋体" w:hAnsi="宋体"/>
          <w:color w:val="000000"/>
          <w:szCs w:val="21"/>
        </w:rPr>
        <w:t>及叶片解剖结构及抗寒生理指数等</w:t>
      </w:r>
      <w:r>
        <w:rPr>
          <w:rFonts w:hint="eastAsia" w:ascii="宋体" w:hAnsi="宋体"/>
          <w:color w:val="000000"/>
          <w:kern w:val="0"/>
          <w:szCs w:val="21"/>
        </w:rPr>
        <w:t>主要抗寒指标的变化规律</w:t>
      </w:r>
      <w:r>
        <w:rPr>
          <w:rFonts w:hint="eastAsia" w:ascii="宋体" w:hAnsi="宋体" w:cs="华文楷体"/>
          <w:color w:val="000000"/>
          <w:kern w:val="0"/>
          <w:szCs w:val="21"/>
        </w:rPr>
        <w:t>，</w:t>
      </w:r>
      <w:r>
        <w:rPr>
          <w:rFonts w:hint="eastAsia" w:ascii="宋体" w:hAnsi="宋体"/>
          <w:bCs/>
          <w:iCs/>
          <w:color w:val="000000"/>
          <w:szCs w:val="21"/>
        </w:rPr>
        <w:t>发明了茶树抗寒种质资源评价与芽叶适制性鉴定方法，创建了茶树抗寒种质资源鉴定评价体系，</w:t>
      </w:r>
      <w:r>
        <w:rPr>
          <w:rFonts w:hint="eastAsia" w:ascii="宋体" w:hAnsi="宋体" w:cs="华文楷体"/>
          <w:color w:val="000000"/>
          <w:kern w:val="0"/>
          <w:szCs w:val="21"/>
        </w:rPr>
        <w:t>获得抗寒优质种质资源120份，建立了《</w:t>
      </w:r>
      <w:r>
        <w:rPr>
          <w:rFonts w:ascii="Arial" w:hAnsi="Arial" w:cs="Arial"/>
          <w:color w:val="000000"/>
          <w:kern w:val="0"/>
          <w:szCs w:val="21"/>
        </w:rPr>
        <w:t>茶树优质抗寒种质及基因资源发掘与开发利用数据库系统V1.0</w:t>
      </w:r>
      <w:r>
        <w:rPr>
          <w:rFonts w:hint="eastAsia" w:ascii="宋体" w:hAnsi="宋体" w:cs="华文楷体"/>
          <w:color w:val="000000"/>
          <w:kern w:val="0"/>
          <w:szCs w:val="21"/>
        </w:rPr>
        <w:t>》和《</w:t>
      </w:r>
      <w:r>
        <w:rPr>
          <w:rFonts w:ascii="Arial" w:hAnsi="Arial" w:cs="Arial"/>
          <w:color w:val="000000"/>
          <w:kern w:val="0"/>
          <w:szCs w:val="21"/>
        </w:rPr>
        <w:t>青岛农业大学茶树种质资源数据库系统V1.0</w:t>
      </w:r>
      <w:r>
        <w:rPr>
          <w:rFonts w:hint="eastAsia" w:ascii="Arial" w:hAnsi="Arial" w:cs="Arial"/>
          <w:color w:val="000000"/>
          <w:kern w:val="0"/>
          <w:szCs w:val="21"/>
        </w:rPr>
        <w:t>》</w:t>
      </w:r>
      <w:r>
        <w:rPr>
          <w:rFonts w:hint="eastAsia" w:ascii="宋体" w:hAnsi="宋体" w:cs="华文楷体"/>
          <w:color w:val="000000"/>
          <w:kern w:val="0"/>
          <w:szCs w:val="21"/>
        </w:rPr>
        <w:t>；选育抗寒优质茶树新品种5个</w:t>
      </w:r>
      <w:r>
        <w:rPr>
          <w:rFonts w:hint="eastAsia" w:ascii="宋体" w:hAnsi="宋体"/>
          <w:color w:val="000000"/>
          <w:kern w:val="0"/>
          <w:szCs w:val="21"/>
        </w:rPr>
        <w:t>。</w:t>
      </w:r>
      <w:r>
        <w:rPr>
          <w:rFonts w:ascii="宋体" w:hAnsi="宋体" w:cs="华文楷体"/>
          <w:color w:val="000000"/>
          <w:kern w:val="0"/>
          <w:szCs w:val="21"/>
        </w:rPr>
        <w:t xml:space="preserve"> </w:t>
      </w:r>
    </w:p>
    <w:p>
      <w:pPr>
        <w:spacing w:line="360" w:lineRule="auto"/>
        <w:ind w:firstLine="480" w:firstLineChars="200"/>
        <w:rPr>
          <w:rFonts w:ascii="黑体" w:hAnsi="黑体" w:eastAsia="黑体"/>
          <w:color w:val="000000"/>
          <w:sz w:val="24"/>
        </w:rPr>
      </w:pPr>
      <w:r>
        <w:rPr>
          <w:rFonts w:ascii="黑体" w:hAnsi="黑体" w:eastAsia="黑体"/>
          <w:color w:val="000000"/>
          <w:sz w:val="24"/>
        </w:rPr>
        <w:t>3</w:t>
      </w:r>
      <w:r>
        <w:rPr>
          <w:rFonts w:hint="eastAsia" w:ascii="黑体" w:hAnsi="黑体" w:eastAsia="黑体"/>
          <w:color w:val="000000"/>
          <w:sz w:val="24"/>
        </w:rPr>
        <w:t>、率先建立了以改善生态环境、促进碳水化合物积累、降低消耗为主的</w:t>
      </w:r>
      <w:r>
        <w:rPr>
          <w:rFonts w:hint="eastAsia" w:ascii="黑体" w:hAnsi="黑体" w:eastAsia="黑体" w:cs="华文楷体"/>
          <w:color w:val="000000"/>
          <w:kern w:val="0"/>
          <w:sz w:val="24"/>
        </w:rPr>
        <w:t>“选、养、保”茶树</w:t>
      </w:r>
      <w:r>
        <w:rPr>
          <w:rFonts w:hint="eastAsia" w:ascii="黑体" w:hAnsi="黑体" w:eastAsia="黑体"/>
          <w:color w:val="000000"/>
          <w:sz w:val="24"/>
        </w:rPr>
        <w:t>抗寒防护技术体系。</w:t>
      </w:r>
    </w:p>
    <w:p>
      <w:pPr>
        <w:spacing w:line="360" w:lineRule="auto"/>
        <w:ind w:firstLine="420" w:firstLineChars="200"/>
        <w:rPr>
          <w:rFonts w:ascii="宋体" w:hAnsi="宋体" w:cs="华文楷体"/>
          <w:color w:val="000000"/>
          <w:kern w:val="0"/>
          <w:szCs w:val="21"/>
        </w:rPr>
      </w:pPr>
      <w:r>
        <w:rPr>
          <w:rFonts w:hint="eastAsia" w:ascii="宋体" w:hAnsi="宋体" w:cs="华文楷体"/>
          <w:color w:val="262626"/>
          <w:kern w:val="0"/>
          <w:szCs w:val="21"/>
        </w:rPr>
        <w:t>提出了“夏秋留养、</w:t>
      </w:r>
      <w:r>
        <w:rPr>
          <w:rFonts w:hint="eastAsia" w:ascii="宋体" w:hAnsi="宋体"/>
          <w:kern w:val="0"/>
          <w:szCs w:val="21"/>
        </w:rPr>
        <w:t>基肥前移、适时封园”的茶树养护技术和“多层覆盖（覆土、覆草、覆膜等）、适时灌溉、喷施防冻剂”等越冬防护系列配套栽培技术，</w:t>
      </w:r>
      <w:r>
        <w:rPr>
          <w:rFonts w:hint="eastAsia" w:ascii="宋体" w:hAnsi="宋体"/>
          <w:color w:val="000000"/>
          <w:szCs w:val="21"/>
        </w:rPr>
        <w:t>制定了山东省地方标准《 茶树越冬防护技术规程》，获得露地茶园冠层小气候观测、大棚茶园小气候观测、茶园灌溉适期与灌水量控制</w:t>
      </w:r>
      <w:r>
        <w:rPr>
          <w:rFonts w:hint="eastAsia" w:ascii="宋体" w:hAnsi="宋体"/>
          <w:bCs/>
          <w:color w:val="000000"/>
          <w:szCs w:val="21"/>
        </w:rPr>
        <w:t>等5项软件</w:t>
      </w:r>
      <w:r>
        <w:rPr>
          <w:rFonts w:hint="eastAsia" w:ascii="宋体" w:hAnsi="宋体"/>
          <w:color w:val="000000"/>
          <w:szCs w:val="21"/>
        </w:rPr>
        <w:t>著作权，</w:t>
      </w:r>
      <w:r>
        <w:rPr>
          <w:rFonts w:hint="eastAsia"/>
        </w:rPr>
        <w:t>建立了以改善生态环境、促进碳水化合物积累、降低消耗为主</w:t>
      </w:r>
      <w:r>
        <w:rPr>
          <w:rFonts w:hint="eastAsia" w:ascii="宋体" w:hAnsi="宋体" w:cs="华文楷体"/>
          <w:color w:val="262626"/>
          <w:kern w:val="0"/>
          <w:szCs w:val="21"/>
        </w:rPr>
        <w:t>的“选、养、保”抗寒防护技术体系，并</w:t>
      </w:r>
      <w:r>
        <w:rPr>
          <w:rFonts w:hint="eastAsia" w:ascii="宋体" w:hAnsi="宋体"/>
          <w:color w:val="000000"/>
          <w:szCs w:val="21"/>
        </w:rPr>
        <w:t>在生产中进行大面积推广应用。</w:t>
      </w:r>
      <w:r>
        <w:rPr>
          <w:rFonts w:ascii="宋体" w:hAnsi="宋体" w:cs="华文楷体"/>
          <w:color w:val="000000"/>
          <w:kern w:val="0"/>
          <w:szCs w:val="21"/>
        </w:rPr>
        <w:t xml:space="preserve"> </w:t>
      </w:r>
    </w:p>
    <w:p>
      <w:pPr>
        <w:snapToGrid w:val="0"/>
        <w:spacing w:line="360" w:lineRule="auto"/>
        <w:ind w:firstLine="482"/>
        <w:rPr>
          <w:rFonts w:ascii="宋体" w:hAnsi="宋体"/>
          <w:color w:val="000000"/>
          <w:kern w:val="0"/>
          <w:szCs w:val="21"/>
        </w:rPr>
      </w:pPr>
      <w:r>
        <w:rPr>
          <w:rFonts w:hint="eastAsia" w:ascii="宋体" w:hAnsi="宋体"/>
          <w:color w:val="000000"/>
          <w:kern w:val="0"/>
          <w:szCs w:val="21"/>
        </w:rPr>
        <w:t>项目获得发明专利5项、实用新型专利2项、计算机软件著作权5项；审定茶树新品种5个；制定省级地方标准与企业技术规范5部；连续8年列入山东省农业主推技术；制作科教片1部；出版英文专著1部，在国内外核心期刊发表论文56篇，其中SCI收录16篇，完成硕士学位论文15部。2008-2015年在日照、临沂、泰安、青岛、威海等地建立试验示范基地  处，累计8年推广面积  余万亩，带动面积  余万亩，累计创经济效益  余万元。</w:t>
      </w:r>
    </w:p>
    <w:p>
      <w:pPr>
        <w:snapToGrid w:val="0"/>
        <w:spacing w:line="360" w:lineRule="auto"/>
        <w:ind w:firstLine="480"/>
        <w:rPr>
          <w:rFonts w:ascii="宋体" w:hAnsi="宋体"/>
          <w:color w:val="000000"/>
          <w:kern w:val="0"/>
          <w:szCs w:val="21"/>
        </w:rPr>
      </w:pPr>
      <w:r>
        <w:rPr>
          <w:rFonts w:hint="eastAsia" w:ascii="宋体" w:hAnsi="宋体"/>
          <w:color w:val="000000"/>
          <w:kern w:val="0"/>
          <w:szCs w:val="21"/>
        </w:rPr>
        <w:t>项目阐明了茶树对低温胁迫的响应机理，完善了茶树抗寒生物学理论基础，攻克了北方茶树安全越冬关键技术难题，</w:t>
      </w:r>
      <w:r>
        <w:rPr>
          <w:rFonts w:ascii="宋体" w:hAnsi="宋体"/>
          <w:color w:val="000000"/>
          <w:kern w:val="0"/>
          <w:szCs w:val="21"/>
        </w:rPr>
        <w:t>为</w:t>
      </w:r>
      <w:r>
        <w:rPr>
          <w:rFonts w:hint="eastAsia" w:ascii="宋体" w:hAnsi="宋体"/>
          <w:color w:val="000000"/>
          <w:kern w:val="0"/>
          <w:szCs w:val="21"/>
        </w:rPr>
        <w:t>北方茶区茶树安全越冬、标准化生产</w:t>
      </w:r>
      <w:r>
        <w:rPr>
          <w:rFonts w:ascii="宋体" w:hAnsi="宋体"/>
          <w:color w:val="000000"/>
          <w:kern w:val="0"/>
          <w:szCs w:val="21"/>
        </w:rPr>
        <w:t>提供</w:t>
      </w:r>
      <w:r>
        <w:rPr>
          <w:rFonts w:hint="eastAsia" w:ascii="宋体" w:hAnsi="宋体"/>
          <w:color w:val="000000"/>
          <w:kern w:val="0"/>
          <w:szCs w:val="21"/>
        </w:rPr>
        <w:t>了</w:t>
      </w:r>
      <w:r>
        <w:rPr>
          <w:rFonts w:ascii="宋体" w:hAnsi="宋体"/>
          <w:color w:val="000000"/>
          <w:kern w:val="0"/>
          <w:szCs w:val="21"/>
        </w:rPr>
        <w:t>技术支撑,为</w:t>
      </w:r>
      <w:r>
        <w:rPr>
          <w:rFonts w:hint="eastAsia" w:ascii="宋体" w:hAnsi="宋体"/>
          <w:color w:val="000000"/>
          <w:kern w:val="0"/>
          <w:szCs w:val="21"/>
        </w:rPr>
        <w:t>茶农增收、茶企增效、</w:t>
      </w:r>
      <w:r>
        <w:rPr>
          <w:rFonts w:ascii="宋体" w:hAnsi="宋体"/>
          <w:color w:val="000000"/>
          <w:kern w:val="0"/>
          <w:szCs w:val="21"/>
        </w:rPr>
        <w:t>市场竞争力提升</w:t>
      </w:r>
      <w:r>
        <w:rPr>
          <w:rFonts w:hint="eastAsia" w:ascii="宋体" w:hAnsi="宋体"/>
          <w:color w:val="000000"/>
          <w:kern w:val="0"/>
          <w:szCs w:val="21"/>
        </w:rPr>
        <w:t>作</w:t>
      </w:r>
      <w:r>
        <w:rPr>
          <w:rFonts w:ascii="宋体" w:hAnsi="宋体"/>
          <w:color w:val="000000"/>
          <w:kern w:val="0"/>
          <w:szCs w:val="21"/>
        </w:rPr>
        <w:t xml:space="preserve">出了重要贡献。 </w:t>
      </w:r>
    </w:p>
    <w:p>
      <w:pPr>
        <w:snapToGrid w:val="0"/>
        <w:spacing w:line="360" w:lineRule="auto"/>
        <w:ind w:firstLine="480"/>
      </w:pPr>
      <w:r>
        <w:rPr>
          <w:rFonts w:ascii="宋体" w:hAnsi="宋体"/>
          <w:color w:val="000000"/>
          <w:kern w:val="0"/>
          <w:szCs w:val="21"/>
        </w:rPr>
        <w:t>经</w:t>
      </w:r>
      <w:r>
        <w:rPr>
          <w:rFonts w:hint="eastAsia" w:ascii="宋体" w:hAnsi="宋体"/>
          <w:color w:val="000000"/>
          <w:kern w:val="0"/>
          <w:szCs w:val="21"/>
        </w:rPr>
        <w:t>山东省科技厅组织鉴定</w:t>
      </w:r>
      <w:r>
        <w:rPr>
          <w:rFonts w:ascii="宋体" w:hAnsi="宋体"/>
          <w:color w:val="000000"/>
          <w:kern w:val="0"/>
          <w:szCs w:val="21"/>
        </w:rPr>
        <w:t>,项目整体居同类研究国际</w:t>
      </w:r>
      <w:r>
        <w:rPr>
          <w:rFonts w:hint="eastAsia" w:ascii="宋体" w:hAnsi="宋体"/>
          <w:color w:val="000000"/>
          <w:kern w:val="0"/>
          <w:szCs w:val="21"/>
        </w:rPr>
        <w:t>先进</w:t>
      </w:r>
      <w:r>
        <w:rPr>
          <w:rFonts w:ascii="宋体" w:hAnsi="宋体"/>
          <w:color w:val="000000"/>
          <w:kern w:val="0"/>
          <w:szCs w:val="21"/>
        </w:rPr>
        <w:t xml:space="preserve">水平。 </w:t>
      </w:r>
      <w:bookmarkStart w:id="11" w:name="_GoBack"/>
      <w:bookmarkEnd w:id="11"/>
    </w:p>
    <w:p>
      <w:pPr>
        <w:spacing w:line="360" w:lineRule="auto"/>
        <w:rPr>
          <w:rFonts w:ascii="黑体" w:eastAsia="黑体"/>
          <w:sz w:val="28"/>
          <w:szCs w:val="28"/>
        </w:rPr>
      </w:pPr>
      <w:r>
        <w:rPr>
          <w:rFonts w:hint="eastAsia" w:ascii="黑体" w:eastAsia="黑体"/>
          <w:sz w:val="28"/>
          <w:szCs w:val="28"/>
        </w:rPr>
        <w:t>四、客观评价</w:t>
      </w:r>
    </w:p>
    <w:p>
      <w:pPr>
        <w:tabs>
          <w:tab w:val="left" w:pos="720"/>
        </w:tabs>
        <w:autoSpaceDE w:val="0"/>
        <w:autoSpaceDN w:val="0"/>
        <w:adjustRightInd w:val="0"/>
        <w:snapToGrid w:val="0"/>
        <w:spacing w:line="360" w:lineRule="auto"/>
        <w:ind w:firstLine="420"/>
        <w:rPr>
          <w:rFonts w:ascii="宋体" w:hAnsi="宋体"/>
          <w:szCs w:val="21"/>
        </w:rPr>
      </w:pPr>
      <w:r>
        <w:rPr>
          <w:rFonts w:ascii="宋体" w:hAnsi="宋体"/>
          <w:szCs w:val="21"/>
        </w:rPr>
        <w:t>项目历经8年研究探索,创建了</w:t>
      </w:r>
      <w:r>
        <w:rPr>
          <w:rFonts w:hint="eastAsia" w:ascii="宋体" w:hAnsi="宋体"/>
          <w:szCs w:val="21"/>
        </w:rPr>
        <w:t>茶树抗寒</w:t>
      </w:r>
      <w:r>
        <w:rPr>
          <w:rFonts w:ascii="宋体" w:hAnsi="宋体"/>
          <w:szCs w:val="21"/>
        </w:rPr>
        <w:t>栽培理论与关键调控技术,建立了标准化</w:t>
      </w:r>
      <w:r>
        <w:rPr>
          <w:rFonts w:hint="eastAsia" w:ascii="宋体" w:hAnsi="宋体"/>
          <w:szCs w:val="21"/>
        </w:rPr>
        <w:t>配套</w:t>
      </w:r>
      <w:r>
        <w:rPr>
          <w:rFonts w:ascii="宋体" w:hAnsi="宋体"/>
          <w:szCs w:val="21"/>
        </w:rPr>
        <w:t xml:space="preserve">栽培技术体系,得到广泛应用和普遍认可。 </w:t>
      </w:r>
    </w:p>
    <w:p>
      <w:pPr>
        <w:tabs>
          <w:tab w:val="left" w:pos="720"/>
        </w:tabs>
        <w:autoSpaceDE w:val="0"/>
        <w:autoSpaceDN w:val="0"/>
        <w:adjustRightInd w:val="0"/>
        <w:snapToGrid w:val="0"/>
        <w:spacing w:line="360" w:lineRule="auto"/>
        <w:ind w:firstLine="420"/>
        <w:rPr>
          <w:rFonts w:ascii="黑体" w:hAnsi="宋体" w:eastAsia="黑体"/>
          <w:sz w:val="24"/>
        </w:rPr>
      </w:pPr>
      <w:r>
        <w:rPr>
          <w:rFonts w:hint="eastAsia" w:ascii="黑体" w:hAnsi="宋体" w:eastAsia="黑体"/>
          <w:sz w:val="24"/>
        </w:rPr>
        <w:t>1</w:t>
      </w:r>
      <w:r>
        <w:rPr>
          <w:rFonts w:ascii="黑体" w:hAnsi="宋体" w:eastAsia="黑体"/>
          <w:sz w:val="24"/>
        </w:rPr>
        <w:t>. 专家评价认为项目整体技术居国际</w:t>
      </w:r>
      <w:r>
        <w:rPr>
          <w:rFonts w:hint="eastAsia" w:ascii="黑体" w:hAnsi="宋体" w:eastAsia="黑体"/>
          <w:sz w:val="24"/>
        </w:rPr>
        <w:t>先进</w:t>
      </w:r>
      <w:r>
        <w:rPr>
          <w:rFonts w:ascii="黑体" w:hAnsi="宋体" w:eastAsia="黑体"/>
          <w:sz w:val="24"/>
        </w:rPr>
        <w:t xml:space="preserve">水平 </w:t>
      </w:r>
    </w:p>
    <w:p>
      <w:pPr>
        <w:tabs>
          <w:tab w:val="left" w:pos="720"/>
        </w:tabs>
        <w:autoSpaceDE w:val="0"/>
        <w:autoSpaceDN w:val="0"/>
        <w:adjustRightInd w:val="0"/>
        <w:snapToGrid w:val="0"/>
        <w:spacing w:line="360" w:lineRule="auto"/>
        <w:ind w:firstLine="420"/>
        <w:rPr>
          <w:rFonts w:ascii="宋体" w:hAnsi="宋体"/>
          <w:szCs w:val="21"/>
        </w:rPr>
      </w:pPr>
      <w:r>
        <w:rPr>
          <w:rFonts w:hint="eastAsia" w:ascii="宋体" w:hAnsi="宋体"/>
          <w:szCs w:val="21"/>
        </w:rPr>
        <w:t>2013年7月12日，受山东省科技厅委托，山东省教育厅在济南组织召开了由青岛农业大学承担完成的“</w:t>
      </w:r>
      <w:bookmarkStart w:id="3" w:name="OLE_LINK6"/>
      <w:r>
        <w:rPr>
          <w:rFonts w:hint="eastAsia" w:ascii="宋体" w:hAnsi="宋体"/>
          <w:szCs w:val="21"/>
        </w:rPr>
        <w:t>茶树优质抗寒种质资源发掘与开发利用</w:t>
      </w:r>
      <w:bookmarkEnd w:id="3"/>
      <w:r>
        <w:rPr>
          <w:rFonts w:hint="eastAsia" w:ascii="宋体" w:hAnsi="宋体"/>
          <w:szCs w:val="21"/>
        </w:rPr>
        <w:t>”技术成果鉴定会。主要鉴定意见：</w:t>
      </w:r>
    </w:p>
    <w:p>
      <w:pPr>
        <w:tabs>
          <w:tab w:val="left" w:pos="720"/>
        </w:tabs>
        <w:autoSpaceDE w:val="0"/>
        <w:autoSpaceDN w:val="0"/>
        <w:adjustRightInd w:val="0"/>
        <w:snapToGrid w:val="0"/>
        <w:spacing w:line="360" w:lineRule="auto"/>
        <w:ind w:firstLine="560"/>
        <w:rPr>
          <w:rFonts w:ascii="宋体" w:hAnsi="宋体"/>
          <w:szCs w:val="21"/>
        </w:rPr>
      </w:pPr>
      <w:r>
        <w:rPr>
          <w:rFonts w:hint="eastAsia" w:ascii="宋体" w:hAnsi="宋体"/>
          <w:szCs w:val="21"/>
        </w:rPr>
        <w:t>①获得与茶树抗寒性相关的分子标记2个；建立了茶树叶片解剖结构指数及与抗寒有关的抗寒生理指数，利用上述指标对茶树苗期抗寒性做出初步鉴定，可以缩短茶树抗寒育种时间。</w:t>
      </w:r>
    </w:p>
    <w:p>
      <w:pPr>
        <w:tabs>
          <w:tab w:val="left" w:pos="720"/>
        </w:tabs>
        <w:autoSpaceDE w:val="0"/>
        <w:autoSpaceDN w:val="0"/>
        <w:adjustRightInd w:val="0"/>
        <w:snapToGrid w:val="0"/>
        <w:spacing w:line="360" w:lineRule="auto"/>
        <w:ind w:firstLine="560"/>
        <w:rPr>
          <w:rFonts w:ascii="宋体" w:hAnsi="宋体"/>
          <w:szCs w:val="21"/>
        </w:rPr>
      </w:pPr>
      <w:r>
        <w:rPr>
          <w:rFonts w:hint="eastAsia" w:ascii="宋体" w:hAnsi="宋体"/>
          <w:szCs w:val="21"/>
        </w:rPr>
        <w:t>②获得优质抗寒种质材料72份，部分种质材料茶多酚、茶氨酸、儿茶素、咖啡碱等含量高。</w:t>
      </w:r>
    </w:p>
    <w:p>
      <w:pPr>
        <w:tabs>
          <w:tab w:val="left" w:pos="720"/>
        </w:tabs>
        <w:autoSpaceDE w:val="0"/>
        <w:autoSpaceDN w:val="0"/>
        <w:adjustRightInd w:val="0"/>
        <w:snapToGrid w:val="0"/>
        <w:spacing w:line="360" w:lineRule="auto"/>
        <w:ind w:firstLine="560"/>
        <w:rPr>
          <w:rFonts w:ascii="宋体" w:hAnsi="宋体"/>
          <w:szCs w:val="21"/>
        </w:rPr>
      </w:pPr>
      <w:r>
        <w:rPr>
          <w:rFonts w:hint="eastAsia" w:ascii="宋体" w:hAnsi="宋体"/>
          <w:szCs w:val="21"/>
        </w:rPr>
        <w:t>③初选出茶树新品系2个，其中“香雪”抗寒性中等、</w:t>
      </w:r>
      <w:r>
        <w:rPr>
          <w:rFonts w:ascii="宋体" w:hAnsi="宋体"/>
          <w:szCs w:val="21"/>
        </w:rPr>
        <w:t>产量高，</w:t>
      </w:r>
      <w:r>
        <w:rPr>
          <w:rFonts w:hint="eastAsia" w:ascii="宋体" w:hAnsi="宋体"/>
          <w:szCs w:val="21"/>
        </w:rPr>
        <w:t>有</w:t>
      </w:r>
      <w:r>
        <w:rPr>
          <w:rFonts w:ascii="宋体" w:hAnsi="宋体"/>
          <w:szCs w:val="21"/>
        </w:rPr>
        <w:t>较强的抗虫性</w:t>
      </w:r>
      <w:r>
        <w:rPr>
          <w:rFonts w:hint="eastAsia" w:ascii="宋体" w:hAnsi="宋体"/>
          <w:szCs w:val="21"/>
        </w:rPr>
        <w:t>，春茶一芽二叶干样氨基酸含量5.3%，茶多酚含量18.6%，咖啡碱含量2.8%。“寒梅”抗寒性强，产量与对照品种福鼎大白相当，</w:t>
      </w:r>
      <w:r>
        <w:rPr>
          <w:rFonts w:ascii="宋体" w:hAnsi="宋体"/>
          <w:szCs w:val="21"/>
        </w:rPr>
        <w:t>表现出较强的抗虫性</w:t>
      </w:r>
      <w:r>
        <w:rPr>
          <w:rFonts w:hint="eastAsia" w:ascii="宋体" w:hAnsi="宋体"/>
          <w:szCs w:val="21"/>
        </w:rPr>
        <w:t>，春茶一芽二叶干样氨基酸含量5.3%，茶多酚含量20.8%，咖啡碱含量3.2%。</w:t>
      </w:r>
    </w:p>
    <w:p>
      <w:pPr>
        <w:tabs>
          <w:tab w:val="left" w:pos="720"/>
        </w:tabs>
        <w:autoSpaceDE w:val="0"/>
        <w:autoSpaceDN w:val="0"/>
        <w:adjustRightInd w:val="0"/>
        <w:snapToGrid w:val="0"/>
        <w:spacing w:line="360" w:lineRule="auto"/>
        <w:ind w:firstLine="560"/>
        <w:rPr>
          <w:rFonts w:ascii="宋体" w:hAnsi="宋体"/>
          <w:szCs w:val="21"/>
        </w:rPr>
      </w:pPr>
      <w:r>
        <w:rPr>
          <w:rFonts w:hint="eastAsia" w:ascii="宋体" w:hAnsi="宋体"/>
          <w:szCs w:val="21"/>
        </w:rPr>
        <w:t>④克隆了2个茶树抗寒基因</w:t>
      </w:r>
      <w:r>
        <w:rPr>
          <w:rFonts w:ascii="宋体" w:hAnsi="宋体"/>
          <w:i/>
          <w:szCs w:val="21"/>
        </w:rPr>
        <w:t>CsCBF1</w:t>
      </w:r>
      <w:r>
        <w:rPr>
          <w:rFonts w:ascii="宋体" w:hAnsi="宋体"/>
          <w:szCs w:val="21"/>
        </w:rPr>
        <w:t>（</w:t>
      </w:r>
      <w:r>
        <w:rPr>
          <w:rFonts w:hint="eastAsia" w:ascii="宋体" w:hAnsi="宋体"/>
          <w:szCs w:val="21"/>
        </w:rPr>
        <w:t>GenBank</w:t>
      </w:r>
      <w:r>
        <w:rPr>
          <w:rFonts w:ascii="宋体" w:hAnsi="宋体"/>
          <w:szCs w:val="21"/>
        </w:rPr>
        <w:t>登录号：</w:t>
      </w:r>
      <w:r>
        <w:rPr>
          <w:rFonts w:hint="eastAsia" w:ascii="宋体" w:hAnsi="宋体"/>
          <w:szCs w:val="21"/>
        </w:rPr>
        <w:t>JX029153</w:t>
      </w:r>
      <w:r>
        <w:rPr>
          <w:rFonts w:ascii="宋体" w:hAnsi="宋体"/>
          <w:szCs w:val="21"/>
        </w:rPr>
        <w:t>）</w:t>
      </w:r>
      <w:r>
        <w:rPr>
          <w:rFonts w:hint="eastAsia" w:ascii="宋体" w:hAnsi="宋体"/>
          <w:szCs w:val="21"/>
        </w:rPr>
        <w:t>和</w:t>
      </w:r>
      <w:r>
        <w:rPr>
          <w:rFonts w:hint="eastAsia" w:ascii="宋体" w:hAnsi="宋体"/>
          <w:i/>
          <w:szCs w:val="21"/>
        </w:rPr>
        <w:t>CsICE1</w:t>
      </w:r>
      <w:r>
        <w:rPr>
          <w:rFonts w:hint="eastAsia" w:ascii="宋体" w:hAnsi="宋体"/>
          <w:szCs w:val="21"/>
        </w:rPr>
        <w:t>（GenBank</w:t>
      </w:r>
      <w:r>
        <w:rPr>
          <w:rFonts w:ascii="宋体" w:hAnsi="宋体"/>
          <w:szCs w:val="21"/>
        </w:rPr>
        <w:t>登录号：JX028828</w:t>
      </w:r>
      <w:r>
        <w:rPr>
          <w:rFonts w:hint="eastAsia" w:ascii="宋体" w:hAnsi="宋体"/>
          <w:szCs w:val="21"/>
        </w:rPr>
        <w:t>）的cDNA全长序列，研究了该基因在低温、干旱、激素及盐诱导条件下的表达。</w:t>
      </w:r>
    </w:p>
    <w:p>
      <w:pPr>
        <w:tabs>
          <w:tab w:val="left" w:pos="720"/>
        </w:tabs>
        <w:autoSpaceDE w:val="0"/>
        <w:autoSpaceDN w:val="0"/>
        <w:adjustRightInd w:val="0"/>
        <w:snapToGrid w:val="0"/>
        <w:spacing w:line="360" w:lineRule="auto"/>
        <w:ind w:firstLine="560"/>
        <w:rPr>
          <w:rFonts w:ascii="宋体" w:hAnsi="宋体"/>
          <w:szCs w:val="21"/>
        </w:rPr>
      </w:pPr>
      <w:r>
        <w:rPr>
          <w:rFonts w:hint="eastAsia" w:ascii="宋体" w:hAnsi="宋体"/>
          <w:szCs w:val="21"/>
        </w:rPr>
        <w:t>⑤申请国家发明专利4项，授权实用新型专利2项，建立了山东省茶树种质资源数据库2个，获得软件著作权2个，培养硕士研究生4名，发表论文15篇。</w:t>
      </w:r>
    </w:p>
    <w:p>
      <w:pPr>
        <w:tabs>
          <w:tab w:val="left" w:pos="720"/>
        </w:tabs>
        <w:autoSpaceDE w:val="0"/>
        <w:autoSpaceDN w:val="0"/>
        <w:adjustRightInd w:val="0"/>
        <w:snapToGrid w:val="0"/>
        <w:spacing w:line="360" w:lineRule="auto"/>
        <w:ind w:firstLine="560"/>
        <w:rPr>
          <w:rFonts w:ascii="宋体" w:hAnsi="宋体"/>
          <w:szCs w:val="21"/>
        </w:rPr>
      </w:pPr>
      <w:r>
        <w:rPr>
          <w:rFonts w:hint="eastAsia" w:ascii="宋体" w:hAnsi="宋体"/>
          <w:szCs w:val="21"/>
        </w:rPr>
        <w:t>鉴定委员会一致认为：该项目在茶树优质抗寒种质鉴定与资源发掘方面有创新，在同类研究中达国际先进水平（附件  ）。</w:t>
      </w:r>
    </w:p>
    <w:p>
      <w:pPr>
        <w:tabs>
          <w:tab w:val="left" w:pos="720"/>
        </w:tabs>
        <w:autoSpaceDE w:val="0"/>
        <w:autoSpaceDN w:val="0"/>
        <w:adjustRightInd w:val="0"/>
        <w:snapToGrid w:val="0"/>
        <w:spacing w:line="360" w:lineRule="auto"/>
        <w:ind w:firstLine="420"/>
        <w:rPr>
          <w:rFonts w:ascii="宋体" w:hAnsi="宋体"/>
          <w:szCs w:val="21"/>
        </w:rPr>
      </w:pPr>
    </w:p>
    <w:p>
      <w:pPr>
        <w:tabs>
          <w:tab w:val="left" w:pos="720"/>
        </w:tabs>
        <w:autoSpaceDE w:val="0"/>
        <w:autoSpaceDN w:val="0"/>
        <w:adjustRightInd w:val="0"/>
        <w:snapToGrid w:val="0"/>
        <w:spacing w:line="360" w:lineRule="auto"/>
        <w:ind w:firstLine="420"/>
        <w:rPr>
          <w:rFonts w:ascii="黑体" w:hAnsi="宋体" w:eastAsia="黑体"/>
          <w:sz w:val="24"/>
        </w:rPr>
      </w:pPr>
      <w:r>
        <w:rPr>
          <w:rFonts w:hint="eastAsia" w:ascii="黑体" w:hAnsi="宋体" w:eastAsia="黑体"/>
          <w:sz w:val="24"/>
        </w:rPr>
        <w:t>2、茶树越冬防护技术连续多年成为</w:t>
      </w:r>
      <w:r>
        <w:rPr>
          <w:rFonts w:ascii="黑体" w:hAnsi="宋体" w:eastAsia="黑体"/>
          <w:sz w:val="24"/>
        </w:rPr>
        <w:t xml:space="preserve">山东省主推技术 </w:t>
      </w:r>
    </w:p>
    <w:p>
      <w:pPr>
        <w:tabs>
          <w:tab w:val="left" w:pos="720"/>
        </w:tabs>
        <w:autoSpaceDE w:val="0"/>
        <w:autoSpaceDN w:val="0"/>
        <w:adjustRightInd w:val="0"/>
        <w:snapToGrid w:val="0"/>
        <w:spacing w:line="360" w:lineRule="auto"/>
        <w:ind w:firstLine="420"/>
        <w:rPr>
          <w:rFonts w:ascii="宋体" w:hAnsi="宋体"/>
          <w:szCs w:val="21"/>
        </w:rPr>
      </w:pPr>
      <w:r>
        <w:rPr>
          <w:rFonts w:hint="eastAsia" w:ascii="宋体" w:hAnsi="宋体"/>
          <w:szCs w:val="21"/>
        </w:rPr>
        <w:t>自</w:t>
      </w:r>
      <w:r>
        <w:rPr>
          <w:rFonts w:ascii="宋体" w:hAnsi="宋体"/>
          <w:szCs w:val="21"/>
        </w:rPr>
        <w:t>2009-2016</w:t>
      </w:r>
      <w:r>
        <w:rPr>
          <w:rFonts w:hint="eastAsia" w:ascii="宋体" w:hAnsi="宋体"/>
          <w:szCs w:val="21"/>
        </w:rPr>
        <w:t>年，山东省将茶树越冬防护技术列为山东省农业主推技术，先后在山东省茶叶主产区日照、临沂、泰安、烟台、威海等地进行示范与推广（附件  ）。</w:t>
      </w:r>
    </w:p>
    <w:p>
      <w:pPr>
        <w:tabs>
          <w:tab w:val="left" w:pos="720"/>
        </w:tabs>
        <w:autoSpaceDE w:val="0"/>
        <w:autoSpaceDN w:val="0"/>
        <w:adjustRightInd w:val="0"/>
        <w:snapToGrid w:val="0"/>
        <w:spacing w:line="360" w:lineRule="auto"/>
        <w:ind w:firstLine="420"/>
        <w:rPr>
          <w:rFonts w:ascii="宋体" w:hAnsi="宋体"/>
          <w:szCs w:val="21"/>
        </w:rPr>
      </w:pPr>
    </w:p>
    <w:p>
      <w:pPr>
        <w:tabs>
          <w:tab w:val="left" w:pos="720"/>
        </w:tabs>
        <w:autoSpaceDE w:val="0"/>
        <w:autoSpaceDN w:val="0"/>
        <w:adjustRightInd w:val="0"/>
        <w:snapToGrid w:val="0"/>
        <w:spacing w:line="360" w:lineRule="auto"/>
        <w:ind w:firstLine="420"/>
        <w:rPr>
          <w:rFonts w:ascii="黑体" w:hAnsi="宋体" w:eastAsia="黑体"/>
          <w:sz w:val="24"/>
          <w:szCs w:val="24"/>
        </w:rPr>
      </w:pPr>
      <w:r>
        <w:rPr>
          <w:rFonts w:hint="eastAsia" w:ascii="黑体" w:hAnsi="宋体" w:eastAsia="黑体"/>
          <w:sz w:val="24"/>
          <w:szCs w:val="24"/>
        </w:rPr>
        <w:t xml:space="preserve">3、项目核心技术及配套技术成为地方标准 </w:t>
      </w:r>
    </w:p>
    <w:p>
      <w:pPr>
        <w:tabs>
          <w:tab w:val="left" w:pos="720"/>
        </w:tabs>
        <w:autoSpaceDE w:val="0"/>
        <w:autoSpaceDN w:val="0"/>
        <w:adjustRightInd w:val="0"/>
        <w:snapToGrid w:val="0"/>
        <w:spacing w:line="360" w:lineRule="auto"/>
        <w:ind w:firstLine="420"/>
        <w:rPr>
          <w:rFonts w:ascii="宋体" w:hAnsi="宋体"/>
          <w:szCs w:val="21"/>
        </w:rPr>
      </w:pPr>
      <w:r>
        <w:rPr>
          <w:rFonts w:hint="eastAsia" w:ascii="宋体" w:hAnsi="宋体"/>
          <w:szCs w:val="21"/>
        </w:rPr>
        <w:t>通过本项目多年研究实施，在茶树越冬前管理方面提出了施肥、浇水、封园、修剪、病虫害防治等技术措施，越冬防护有培土越冬、搭设防风障、覆盖防护、设施防护等方法，同时提出了多条越冬期管理技术方法，并对各项技术进行了整合，制定了山东省地方标准《茶园越冬防护技术规程（DB37/T 2268-2013</w:t>
      </w:r>
      <w:r>
        <w:rPr>
          <w:rFonts w:ascii="宋体" w:hAnsi="宋体"/>
          <w:szCs w:val="21"/>
        </w:rPr>
        <w:t>）</w:t>
      </w:r>
      <w:r>
        <w:rPr>
          <w:rFonts w:hint="eastAsia" w:ascii="宋体" w:hAnsi="宋体"/>
          <w:szCs w:val="21"/>
        </w:rPr>
        <w:t>》（附件   ），于2013年4月1日发布，2013年5月1日实施。</w:t>
      </w:r>
    </w:p>
    <w:p>
      <w:pPr>
        <w:tabs>
          <w:tab w:val="left" w:pos="720"/>
        </w:tabs>
        <w:autoSpaceDE w:val="0"/>
        <w:autoSpaceDN w:val="0"/>
        <w:adjustRightInd w:val="0"/>
        <w:snapToGrid w:val="0"/>
        <w:spacing w:line="360" w:lineRule="auto"/>
        <w:ind w:firstLine="420"/>
        <w:rPr>
          <w:rFonts w:ascii="黑体" w:hAnsi="宋体" w:eastAsia="黑体"/>
          <w:szCs w:val="21"/>
        </w:rPr>
      </w:pPr>
    </w:p>
    <w:p>
      <w:pPr>
        <w:tabs>
          <w:tab w:val="left" w:pos="720"/>
        </w:tabs>
        <w:autoSpaceDE w:val="0"/>
        <w:autoSpaceDN w:val="0"/>
        <w:adjustRightInd w:val="0"/>
        <w:snapToGrid w:val="0"/>
        <w:spacing w:line="360" w:lineRule="auto"/>
        <w:ind w:firstLine="420"/>
        <w:rPr>
          <w:rFonts w:ascii="黑体" w:hAnsi="宋体" w:eastAsia="黑体"/>
          <w:sz w:val="24"/>
          <w:szCs w:val="24"/>
        </w:rPr>
      </w:pPr>
      <w:r>
        <w:rPr>
          <w:rFonts w:hint="eastAsia" w:ascii="黑体" w:hAnsi="宋体" w:eastAsia="黑体"/>
          <w:sz w:val="24"/>
          <w:szCs w:val="24"/>
        </w:rPr>
        <w:t>4、</w:t>
      </w:r>
      <w:r>
        <w:rPr>
          <w:rFonts w:ascii="黑体" w:hAnsi="宋体" w:eastAsia="黑体"/>
          <w:sz w:val="24"/>
          <w:szCs w:val="24"/>
        </w:rPr>
        <w:t>查新显示项目在</w:t>
      </w:r>
      <w:r>
        <w:rPr>
          <w:rFonts w:hint="eastAsia" w:ascii="黑体" w:hAnsi="宋体" w:eastAsia="黑体"/>
          <w:sz w:val="24"/>
          <w:szCs w:val="24"/>
        </w:rPr>
        <w:t>3</w:t>
      </w:r>
      <w:r>
        <w:rPr>
          <w:rFonts w:ascii="黑体" w:hAnsi="宋体" w:eastAsia="黑体"/>
          <w:sz w:val="24"/>
          <w:szCs w:val="24"/>
        </w:rPr>
        <w:t xml:space="preserve">个方面具有创新性 </w:t>
      </w:r>
    </w:p>
    <w:p>
      <w:pPr>
        <w:tabs>
          <w:tab w:val="left" w:pos="720"/>
        </w:tabs>
        <w:autoSpaceDE w:val="0"/>
        <w:autoSpaceDN w:val="0"/>
        <w:adjustRightInd w:val="0"/>
        <w:snapToGrid w:val="0"/>
        <w:spacing w:line="360" w:lineRule="auto"/>
        <w:ind w:firstLine="420"/>
        <w:rPr>
          <w:rFonts w:ascii="宋体" w:hAnsi="宋体"/>
          <w:szCs w:val="21"/>
        </w:rPr>
      </w:pPr>
      <w:r>
        <w:rPr>
          <w:rFonts w:hint="eastAsia" w:ascii="宋体" w:hAnsi="宋体"/>
          <w:szCs w:val="21"/>
        </w:rPr>
        <w:t>查新认为：</w:t>
      </w:r>
      <w:r>
        <w:rPr>
          <w:rFonts w:ascii="宋体" w:hAnsi="宋体"/>
          <w:szCs w:val="21"/>
        </w:rPr>
        <w:t>本项目的创新点是</w:t>
      </w:r>
      <w:r>
        <w:rPr>
          <w:rFonts w:hint="eastAsia" w:ascii="宋体" w:hAnsi="宋体"/>
          <w:szCs w:val="21"/>
        </w:rPr>
        <w:t>茶树对低温和冷冻响应的miRNA及其靶基因，miRNA-mRNA 基因调控网络；茶树低温胁迫差异蛋白组分；越冬期茶树叶片代谢物谱分析。查新结果表明</w:t>
      </w:r>
      <w:r>
        <w:rPr>
          <w:rFonts w:ascii="宋体" w:hAnsi="宋体"/>
          <w:szCs w:val="21"/>
        </w:rPr>
        <w:t>，</w:t>
      </w:r>
      <w:r>
        <w:rPr>
          <w:rFonts w:hint="eastAsia" w:ascii="宋体" w:hAnsi="宋体"/>
          <w:szCs w:val="21"/>
        </w:rPr>
        <w:t>国</w:t>
      </w:r>
      <w:r>
        <w:rPr>
          <w:rFonts w:ascii="宋体" w:hAnsi="宋体"/>
          <w:szCs w:val="21"/>
        </w:rPr>
        <w:t>内</w:t>
      </w:r>
      <w:r>
        <w:rPr>
          <w:rFonts w:hint="eastAsia" w:ascii="宋体" w:hAnsi="宋体"/>
          <w:szCs w:val="21"/>
        </w:rPr>
        <w:t>本课题组</w:t>
      </w:r>
      <w:r>
        <w:rPr>
          <w:rFonts w:ascii="宋体" w:hAnsi="宋体"/>
          <w:szCs w:val="21"/>
        </w:rPr>
        <w:t>已报道</w:t>
      </w:r>
      <w:r>
        <w:rPr>
          <w:rFonts w:hint="eastAsia" w:ascii="宋体" w:hAnsi="宋体"/>
          <w:szCs w:val="21"/>
        </w:rPr>
        <w:t>了越冬期茶树叶片代谢物变化；国外本课题组已报道了茶树对低温和冷冻响应的miRNA及其靶基因、miRNA-mRNA 基因调控网络、茶树低温胁迫差异表达、越冬期茶树叶片代谢物谱分析；国内外未见其他课题组有相同研究的文献报道。国内外未见有茶树低温胁迫差异蛋白组分的报道（附件  ）。</w:t>
      </w:r>
    </w:p>
    <w:p>
      <w:pPr>
        <w:tabs>
          <w:tab w:val="left" w:pos="720"/>
        </w:tabs>
        <w:autoSpaceDE w:val="0"/>
        <w:autoSpaceDN w:val="0"/>
        <w:adjustRightInd w:val="0"/>
        <w:snapToGrid w:val="0"/>
        <w:spacing w:line="360" w:lineRule="auto"/>
        <w:ind w:firstLine="420"/>
        <w:rPr>
          <w:rFonts w:ascii="黑体" w:hAnsi="宋体" w:eastAsia="黑体"/>
          <w:szCs w:val="21"/>
        </w:rPr>
      </w:pPr>
    </w:p>
    <w:p>
      <w:pPr>
        <w:tabs>
          <w:tab w:val="left" w:pos="720"/>
        </w:tabs>
        <w:autoSpaceDE w:val="0"/>
        <w:autoSpaceDN w:val="0"/>
        <w:adjustRightInd w:val="0"/>
        <w:snapToGrid w:val="0"/>
        <w:spacing w:line="360" w:lineRule="auto"/>
        <w:ind w:firstLine="420"/>
        <w:rPr>
          <w:rFonts w:ascii="黑体" w:hAnsi="宋体" w:eastAsia="黑体"/>
          <w:sz w:val="24"/>
        </w:rPr>
      </w:pPr>
      <w:r>
        <w:rPr>
          <w:rFonts w:hint="eastAsia" w:ascii="黑体" w:hAnsi="宋体" w:eastAsia="黑体"/>
          <w:sz w:val="24"/>
        </w:rPr>
        <w:t>5</w:t>
      </w:r>
      <w:r>
        <w:rPr>
          <w:rFonts w:ascii="黑体" w:hAnsi="宋体" w:eastAsia="黑体"/>
          <w:sz w:val="24"/>
        </w:rPr>
        <w:t>. 测产验收与品质检测表明项目技术</w:t>
      </w:r>
      <w:r>
        <w:rPr>
          <w:rFonts w:hint="eastAsia" w:ascii="黑体" w:hAnsi="宋体" w:eastAsia="黑体"/>
          <w:sz w:val="24"/>
        </w:rPr>
        <w:t>具有较高的推广应用价值</w:t>
      </w:r>
    </w:p>
    <w:p>
      <w:pPr>
        <w:tabs>
          <w:tab w:val="left" w:pos="720"/>
        </w:tabs>
        <w:autoSpaceDE w:val="0"/>
        <w:autoSpaceDN w:val="0"/>
        <w:adjustRightInd w:val="0"/>
        <w:snapToGrid w:val="0"/>
        <w:spacing w:line="360" w:lineRule="auto"/>
        <w:ind w:firstLine="480"/>
        <w:rPr>
          <w:szCs w:val="21"/>
        </w:rPr>
      </w:pPr>
      <w:r>
        <w:rPr>
          <w:rFonts w:hint="eastAsia"/>
          <w:szCs w:val="21"/>
        </w:rPr>
        <w:t>（1）2012年3月7日，山东省科技厅组织有关专家对《</w:t>
      </w:r>
      <w:r>
        <w:rPr>
          <w:rFonts w:hint="eastAsia" w:ascii="宋体" w:hAnsi="宋体"/>
          <w:kern w:val="0"/>
          <w:szCs w:val="21"/>
        </w:rPr>
        <w:t>茶树抗寒良种繁育与优质安全生产配套技术集成与示范》进行了会议验收。验收意见为：</w:t>
      </w:r>
      <w:r>
        <w:rPr>
          <w:rFonts w:hint="eastAsia"/>
          <w:szCs w:val="21"/>
        </w:rPr>
        <w:t>该项目应用罗汉1号和瑞雪等茶树良种，构建适宜北方茶区的无性系繁育技术体系，推广TS-1型茶树专用肥、TL-2型生防菌剂及茶林间作、越冬防护等技术，构建茶叶优质、安全、高效生产技术体系。通过该项目推广，新建茶树良种母本园56亩，扦插苗圃120亩，繁育大棚20栋，日光温室4栋，在日照、泰安、青岛等绿茶主产区建立示范基地4个，推广茶林间作、有机培肥、病虫害无害化防治、水肥一体化及越冬防护技术等茶园面积3000余亩，带动发展20000余亩，名优茶增产25%以上。申报国家专利2项，审定新品种1个，制定了操作技术规程1项。</w:t>
      </w:r>
    </w:p>
    <w:p>
      <w:pPr>
        <w:tabs>
          <w:tab w:val="left" w:pos="720"/>
        </w:tabs>
        <w:autoSpaceDE w:val="0"/>
        <w:autoSpaceDN w:val="0"/>
        <w:adjustRightInd w:val="0"/>
        <w:snapToGrid w:val="0"/>
        <w:spacing w:line="360" w:lineRule="auto"/>
        <w:ind w:firstLine="480"/>
        <w:rPr>
          <w:rFonts w:ascii="黑体" w:hAnsi="宋体" w:eastAsia="黑体"/>
          <w:szCs w:val="21"/>
        </w:rPr>
      </w:pPr>
      <w:r>
        <w:rPr>
          <w:rFonts w:hint="eastAsia" w:ascii="黑体" w:hAnsi="宋体" w:eastAsia="黑体"/>
          <w:szCs w:val="21"/>
        </w:rPr>
        <w:t>（2）</w:t>
      </w:r>
      <w:r>
        <w:rPr>
          <w:rFonts w:hint="eastAsia" w:ascii="宋体" w:hAnsi="宋体"/>
          <w:szCs w:val="21"/>
        </w:rPr>
        <w:t>2015年4月10日省农业厅组织有关专家对泰安市林科院承担的财政支持农业技术推广项目-茶树越冬防护技术推广项目测产验收。验收意见如下：</w:t>
      </w:r>
    </w:p>
    <w:p>
      <w:pPr>
        <w:spacing w:line="360" w:lineRule="auto"/>
        <w:ind w:firstLine="420" w:firstLineChars="200"/>
        <w:rPr>
          <w:rFonts w:ascii="宋体" w:hAnsi="宋体"/>
          <w:szCs w:val="21"/>
        </w:rPr>
      </w:pPr>
      <w:r>
        <w:rPr>
          <w:rFonts w:hint="eastAsia" w:ascii="宋体" w:hAnsi="宋体"/>
          <w:szCs w:val="21"/>
        </w:rPr>
        <w:t>①测产园片位于新泰市石莱镇北官庄村，实施单位为山东泰茶农业发展有限公司，基地示范面积100亩，无性系良种茶园，品种为鸠坑1号、金萱、中茶108、龙井43等，树龄为3年生，防护设施为镀锌钢管架春暖式大棚。</w:t>
      </w:r>
    </w:p>
    <w:p>
      <w:pPr>
        <w:spacing w:line="360" w:lineRule="auto"/>
        <w:ind w:firstLine="420" w:firstLineChars="200"/>
        <w:rPr>
          <w:rFonts w:ascii="宋体" w:hAnsi="宋体"/>
          <w:szCs w:val="21"/>
        </w:rPr>
      </w:pPr>
      <w:r>
        <w:rPr>
          <w:rFonts w:hint="eastAsia" w:ascii="宋体" w:hAnsi="宋体"/>
          <w:szCs w:val="21"/>
        </w:rPr>
        <w:t>②测得每平方米平均重量分别达到6.7克、24.5克，折合亩产16.75千克，61.25千克，比对照分别增产4.31千克、21.62千克，茶园实现零冻害，比对照开采期提前15天。</w:t>
      </w:r>
    </w:p>
    <w:p>
      <w:pPr>
        <w:spacing w:line="360" w:lineRule="auto"/>
      </w:pPr>
    </w:p>
    <w:p>
      <w:pPr>
        <w:spacing w:line="360" w:lineRule="auto"/>
        <w:rPr>
          <w:rFonts w:ascii="黑体" w:eastAsia="黑体"/>
          <w:sz w:val="28"/>
          <w:szCs w:val="28"/>
        </w:rPr>
      </w:pPr>
      <w:r>
        <w:rPr>
          <w:rFonts w:hint="eastAsia" w:ascii="黑体" w:eastAsia="黑体"/>
          <w:sz w:val="28"/>
          <w:szCs w:val="28"/>
        </w:rPr>
        <w:t>五、推广应用情况</w:t>
      </w:r>
    </w:p>
    <w:p>
      <w:pPr>
        <w:spacing w:line="360" w:lineRule="auto"/>
        <w:ind w:firstLine="437"/>
        <w:rPr>
          <w:rFonts w:ascii="宋体" w:hAnsi="宋体"/>
          <w:kern w:val="0"/>
          <w:szCs w:val="21"/>
        </w:rPr>
      </w:pPr>
      <w:r>
        <w:rPr>
          <w:rFonts w:hint="eastAsia"/>
        </w:rPr>
        <w:t>（1）本项目主要技术推广年限在2008年-2015年。自1999年，课题组即开展有关茶树抗寒品种选育及其配套技术研究工作，2006年将工作重点转向茶树抗寒机理与配套防护技术研究，期间，2009年-2012年连续3年承担了山东省财政支农项目“</w:t>
      </w:r>
      <w:r>
        <w:rPr>
          <w:rFonts w:hint="eastAsia" w:ascii="宋体" w:hAnsi="宋体"/>
          <w:kern w:val="0"/>
          <w:szCs w:val="21"/>
        </w:rPr>
        <w:t>茶树越冬防护与优质高效配套技术推广”， 2011-2015年，先后承担山东省科技攻关项目、山东省农业重大应用技术项目及科技部富民强县项目，核心技术均围绕茶树抗寒品种选育、优质高产配套技术、越冬防护关键技术等内容开展研究与推广，该类项目的实施，对解决山东省茶树抗寒越冬问题发挥了重要作用。</w:t>
      </w:r>
    </w:p>
    <w:p>
      <w:pPr>
        <w:spacing w:line="360" w:lineRule="auto"/>
        <w:ind w:firstLine="437"/>
      </w:pPr>
      <w:r>
        <w:rPr>
          <w:rFonts w:hint="eastAsia"/>
        </w:rPr>
        <w:t>（2）通过该项目近8年的研发，课题组建立了</w:t>
      </w:r>
      <w:r>
        <w:rPr>
          <w:rFonts w:hint="eastAsia" w:ascii="宋体" w:hAnsi="宋体" w:cs="华文楷体"/>
          <w:color w:val="262626"/>
          <w:kern w:val="0"/>
          <w:szCs w:val="21"/>
        </w:rPr>
        <w:t>以选用抗寒品种、增强茶树自身抗逆性和加强越冬防护为主的“选、保、养”技术体系，选育、筛选茶树抗寒品种8个，研究提出了夏季留养、</w:t>
      </w:r>
      <w:r>
        <w:rPr>
          <w:rFonts w:hint="eastAsia" w:ascii="宋体" w:hAnsi="宋体"/>
          <w:kern w:val="0"/>
          <w:szCs w:val="21"/>
        </w:rPr>
        <w:t>秋季培肥、适时封园、多层覆盖（覆土、覆草、覆膜等）、灌溉防冻、冻害补救等系列配套技术，达到单项技术先进、针对性强，综合技术集成化程度高的目标，在提质增效方面完全优于普通茶园管理技术，使广大茶农乐于接受、易于掌握，推广潜力巨大。</w:t>
      </w:r>
    </w:p>
    <w:p>
      <w:pPr>
        <w:spacing w:line="360" w:lineRule="auto"/>
        <w:ind w:firstLine="437"/>
        <w:rPr>
          <w:rFonts w:ascii="宋体" w:hAnsi="宋体" w:cs="宋体"/>
          <w:color w:val="000000"/>
          <w:kern w:val="0"/>
          <w:szCs w:val="21"/>
        </w:rPr>
      </w:pPr>
      <w:r>
        <w:rPr>
          <w:rFonts w:hint="eastAsia"/>
        </w:rPr>
        <w:t>（3）该项目实施8年来，通过加强技术集成，建立了试验、示范、培训一条龙的技术推广模式，在临沂、日照、泰安、青岛等地建立示范茶园30余处，抗寒品种繁育基地4处，</w:t>
      </w:r>
      <w:r>
        <w:rPr>
          <w:rFonts w:hint="eastAsia" w:ascii="宋体" w:hAnsi="宋体"/>
          <w:color w:val="000000"/>
          <w:kern w:val="0"/>
          <w:szCs w:val="21"/>
        </w:rPr>
        <w:t>茶树新品种示范基地5处，推广茶树抗寒品种3万余亩，研制的茶树专用生物有机肥、控释肥等推广30余万吨，关键越冬防护技术</w:t>
      </w:r>
      <w:r>
        <w:rPr>
          <w:rFonts w:hint="eastAsia"/>
          <w:color w:val="000000"/>
        </w:rPr>
        <w:t>累计</w:t>
      </w:r>
      <w:r>
        <w:rPr>
          <w:rFonts w:hint="eastAsia" w:ascii="宋体" w:hAnsi="宋体" w:cs="华文楷体"/>
          <w:color w:val="000000"/>
          <w:kern w:val="0"/>
          <w:szCs w:val="21"/>
        </w:rPr>
        <w:t>推广面积</w:t>
      </w:r>
      <w:r>
        <w:rPr>
          <w:rFonts w:hint="eastAsia" w:ascii="宋体" w:hAnsi="宋体"/>
          <w:color w:val="000000"/>
          <w:kern w:val="0"/>
          <w:szCs w:val="21"/>
        </w:rPr>
        <w:t>80余万亩，带动周边发展130万余亩，</w:t>
      </w:r>
      <w:r>
        <w:rPr>
          <w:rFonts w:hint="eastAsia"/>
          <w:color w:val="000000"/>
        </w:rPr>
        <w:t>全项目辐射推广园基本实现零冻害，春</w:t>
      </w:r>
      <w:r>
        <w:rPr>
          <w:rFonts w:hint="eastAsia" w:ascii="宋体" w:hAnsi="宋体"/>
          <w:color w:val="000000"/>
          <w:kern w:val="0"/>
          <w:szCs w:val="21"/>
        </w:rPr>
        <w:t>茶产量和质量得到显著提高，</w:t>
      </w:r>
      <w:r>
        <w:rPr>
          <w:rFonts w:hint="eastAsia"/>
          <w:color w:val="000000"/>
        </w:rPr>
        <w:t>亩产值比对照茶园增加15-30%，累计增加经济效益3亿元以上，</w:t>
      </w:r>
      <w:r>
        <w:rPr>
          <w:rFonts w:hint="eastAsia" w:ascii="宋体" w:hAnsi="宋体" w:cs="宋体"/>
          <w:color w:val="000000"/>
          <w:kern w:val="0"/>
          <w:szCs w:val="21"/>
        </w:rPr>
        <w:t>创造了显著的经济效益与社会效益。</w:t>
      </w:r>
    </w:p>
    <w:p>
      <w:pPr>
        <w:spacing w:line="360" w:lineRule="auto"/>
        <w:ind w:firstLine="437"/>
        <w:rPr>
          <w:rFonts w:ascii="宋体" w:hAnsi="宋体"/>
          <w:color w:val="000000"/>
        </w:rPr>
      </w:pPr>
      <w:r>
        <w:rPr>
          <w:rFonts w:hint="eastAsia" w:ascii="宋体" w:hAnsi="宋体"/>
          <w:color w:val="000000"/>
        </w:rPr>
        <w:t>在项目实施期间，</w:t>
      </w:r>
      <w:r>
        <w:rPr>
          <w:rFonts w:hint="eastAsia" w:ascii="宋体" w:hAnsi="宋体"/>
          <w:color w:val="000000"/>
          <w:kern w:val="0"/>
          <w:szCs w:val="21"/>
        </w:rPr>
        <w:t>举办技术培训班60余期，发放技术资料10万余份，累计培训茶农、技术员1万余人次，</w:t>
      </w:r>
      <w:r>
        <w:rPr>
          <w:rFonts w:hint="eastAsia" w:ascii="宋体" w:hAnsi="宋体"/>
          <w:color w:val="000000"/>
        </w:rPr>
        <w:t>提高了农业基层人员的科技水平，同时培养锻炼了一支高水平的科技队伍。参与该项目的10多名科技人员来自青岛农业大学、山东省果茶技术推广站、日照市农业局、临沂市农业局、青岛市农委及相关公司，优势互补，同心协力，促进了该成果的大面积转化与应用。</w:t>
      </w:r>
    </w:p>
    <w:p>
      <w:pPr>
        <w:spacing w:line="360" w:lineRule="auto"/>
      </w:pPr>
    </w:p>
    <w:p/>
    <w:p>
      <w:pPr>
        <w:widowControl/>
        <w:jc w:val="left"/>
      </w:pPr>
      <w:r>
        <w:br w:type="page"/>
      </w:r>
    </w:p>
    <w:p>
      <w:pPr>
        <w:sectPr>
          <w:footerReference r:id="rId4" w:type="default"/>
          <w:pgSz w:w="11906" w:h="16838"/>
          <w:pgMar w:top="1440" w:right="1800" w:bottom="1440" w:left="1800" w:header="851" w:footer="992" w:gutter="0"/>
          <w:cols w:space="425" w:num="1"/>
          <w:docGrid w:type="lines" w:linePitch="312"/>
        </w:sectPr>
      </w:pPr>
    </w:p>
    <w:p>
      <w:pPr>
        <w:rPr>
          <w:rFonts w:ascii="黑体" w:eastAsia="黑体"/>
          <w:sz w:val="28"/>
          <w:szCs w:val="28"/>
        </w:rPr>
      </w:pPr>
      <w:r>
        <w:rPr>
          <w:rFonts w:hint="eastAsia" w:ascii="黑体" w:eastAsia="黑体"/>
          <w:sz w:val="28"/>
          <w:szCs w:val="28"/>
        </w:rPr>
        <w:t>六、主要知识产权证明目录</w:t>
      </w:r>
    </w:p>
    <w:tbl>
      <w:tblPr>
        <w:tblW w:w="145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left w:w="108" w:type="dxa"/>
          <w:right w:w="108" w:type="dxa"/>
        </w:tblCellMar>
      </w:tblPr>
      <w:tblGrid>
        <w:gridCol w:w="477"/>
        <w:gridCol w:w="2952"/>
        <w:gridCol w:w="1175"/>
        <w:gridCol w:w="1730"/>
        <w:gridCol w:w="1696"/>
        <w:gridCol w:w="2264"/>
        <w:gridCol w:w="1358"/>
        <w:gridCol w:w="846"/>
        <w:gridCol w:w="1126"/>
        <w:gridCol w:w="919"/>
      </w:tblGrid>
      <w:tr>
        <w:trPr>
          <w:jc w:val="center"/>
        </w:trPr>
        <w:tc>
          <w:tcPr>
            <w:tcW w:w="477" w:type="dxa"/>
            <w:vAlign w:val="center"/>
          </w:tcPr>
          <w:p>
            <w:pPr>
              <w:jc w:val="center"/>
              <w:rPr>
                <w:bCs/>
              </w:rPr>
            </w:pPr>
            <w:r>
              <w:rPr>
                <w:rFonts w:hint="eastAsia"/>
                <w:bCs/>
              </w:rPr>
              <w:t>序号</w:t>
            </w:r>
          </w:p>
        </w:tc>
        <w:tc>
          <w:tcPr>
            <w:tcW w:w="2952" w:type="dxa"/>
            <w:vAlign w:val="center"/>
          </w:tcPr>
          <w:p>
            <w:pPr>
              <w:jc w:val="center"/>
              <w:rPr>
                <w:bCs/>
              </w:rPr>
            </w:pPr>
            <w:r>
              <w:rPr>
                <w:rFonts w:hint="eastAsia"/>
                <w:bCs/>
              </w:rPr>
              <w:t>知识产权名称</w:t>
            </w:r>
          </w:p>
        </w:tc>
        <w:tc>
          <w:tcPr>
            <w:tcW w:w="1175" w:type="dxa"/>
            <w:vAlign w:val="center"/>
          </w:tcPr>
          <w:p>
            <w:pPr>
              <w:jc w:val="center"/>
              <w:rPr>
                <w:bCs/>
              </w:rPr>
            </w:pPr>
            <w:r>
              <w:rPr>
                <w:rFonts w:hint="eastAsia"/>
                <w:bCs/>
              </w:rPr>
              <w:t>知识产权类别</w:t>
            </w:r>
          </w:p>
        </w:tc>
        <w:tc>
          <w:tcPr>
            <w:tcW w:w="1730" w:type="dxa"/>
            <w:vAlign w:val="center"/>
          </w:tcPr>
          <w:p>
            <w:pPr>
              <w:jc w:val="center"/>
              <w:rPr>
                <w:bCs/>
              </w:rPr>
            </w:pPr>
            <w:r>
              <w:rPr>
                <w:rFonts w:hint="eastAsia"/>
                <w:bCs/>
              </w:rPr>
              <w:t>发明人</w:t>
            </w:r>
          </w:p>
        </w:tc>
        <w:tc>
          <w:tcPr>
            <w:tcW w:w="1696" w:type="dxa"/>
            <w:vAlign w:val="center"/>
          </w:tcPr>
          <w:p>
            <w:pPr>
              <w:jc w:val="center"/>
              <w:rPr>
                <w:bCs/>
              </w:rPr>
            </w:pPr>
            <w:r>
              <w:rPr>
                <w:rFonts w:hint="eastAsia"/>
                <w:bCs/>
              </w:rPr>
              <w:t>知识产权人</w:t>
            </w:r>
          </w:p>
        </w:tc>
        <w:tc>
          <w:tcPr>
            <w:tcW w:w="2264" w:type="dxa"/>
            <w:vAlign w:val="center"/>
          </w:tcPr>
          <w:p>
            <w:pPr>
              <w:jc w:val="center"/>
              <w:rPr>
                <w:bCs/>
              </w:rPr>
            </w:pPr>
            <w:r>
              <w:rPr>
                <w:rFonts w:hint="eastAsia"/>
                <w:bCs/>
              </w:rPr>
              <w:t>知识产权号</w:t>
            </w:r>
          </w:p>
        </w:tc>
        <w:tc>
          <w:tcPr>
            <w:tcW w:w="1358" w:type="dxa"/>
            <w:vAlign w:val="center"/>
          </w:tcPr>
          <w:p>
            <w:pPr>
              <w:jc w:val="center"/>
              <w:rPr>
                <w:bCs/>
              </w:rPr>
            </w:pPr>
            <w:r>
              <w:rPr>
                <w:rFonts w:hint="eastAsia"/>
                <w:bCs/>
              </w:rPr>
              <w:t>取得日期</w:t>
            </w:r>
          </w:p>
        </w:tc>
        <w:tc>
          <w:tcPr>
            <w:tcW w:w="846" w:type="dxa"/>
            <w:vAlign w:val="center"/>
          </w:tcPr>
          <w:p>
            <w:pPr>
              <w:jc w:val="center"/>
              <w:rPr>
                <w:bCs/>
              </w:rPr>
            </w:pPr>
            <w:r>
              <w:rPr>
                <w:rFonts w:hint="eastAsia"/>
                <w:bCs/>
              </w:rPr>
              <w:t>国（区）别</w:t>
            </w:r>
          </w:p>
        </w:tc>
        <w:tc>
          <w:tcPr>
            <w:tcW w:w="1126" w:type="dxa"/>
            <w:vAlign w:val="center"/>
          </w:tcPr>
          <w:p>
            <w:pPr>
              <w:jc w:val="center"/>
              <w:rPr>
                <w:bCs/>
              </w:rPr>
            </w:pPr>
            <w:r>
              <w:rPr>
                <w:rFonts w:hint="eastAsia"/>
                <w:bCs/>
              </w:rPr>
              <w:t>发明专利</w:t>
            </w:r>
          </w:p>
          <w:p>
            <w:pPr>
              <w:jc w:val="center"/>
              <w:rPr>
                <w:bCs/>
              </w:rPr>
            </w:pPr>
            <w:r>
              <w:rPr>
                <w:rFonts w:hint="eastAsia"/>
                <w:bCs/>
              </w:rPr>
              <w:t>有效状态</w:t>
            </w:r>
          </w:p>
        </w:tc>
        <w:tc>
          <w:tcPr>
            <w:tcW w:w="919" w:type="dxa"/>
            <w:vAlign w:val="center"/>
          </w:tcPr>
          <w:p>
            <w:pPr>
              <w:jc w:val="center"/>
              <w:rPr>
                <w:bCs/>
              </w:rPr>
            </w:pPr>
            <w:r>
              <w:rPr>
                <w:rFonts w:hint="eastAsia"/>
                <w:bCs/>
              </w:rPr>
              <w:t>证明材料</w:t>
            </w:r>
          </w:p>
        </w:tc>
      </w:tr>
      <w:tr>
        <w:trPr>
          <w:trHeight w:val="412" w:hRule="atLeast"/>
          <w:jc w:val="center"/>
        </w:trPr>
        <w:tc>
          <w:tcPr>
            <w:tcW w:w="477" w:type="dxa"/>
            <w:vAlign w:val="center"/>
          </w:tcPr>
          <w:p>
            <w:pPr>
              <w:jc w:val="center"/>
            </w:pPr>
            <w:r>
              <w:rPr>
                <w:rFonts w:hint="eastAsia"/>
              </w:rPr>
              <w:t>1</w:t>
            </w:r>
          </w:p>
        </w:tc>
        <w:tc>
          <w:tcPr>
            <w:tcW w:w="2952" w:type="dxa"/>
            <w:vAlign w:val="center"/>
          </w:tcPr>
          <w:p>
            <w:r>
              <w:rPr>
                <w:rFonts w:hint="eastAsia"/>
              </w:rPr>
              <w:t>一种茶树种质资源苗期抗寒性的鉴定方法</w:t>
            </w:r>
          </w:p>
        </w:tc>
        <w:tc>
          <w:tcPr>
            <w:tcW w:w="1175" w:type="dxa"/>
            <w:vAlign w:val="center"/>
          </w:tcPr>
          <w:p>
            <w:pPr>
              <w:jc w:val="center"/>
              <w:rPr>
                <w:szCs w:val="21"/>
              </w:rPr>
            </w:pPr>
            <w:r>
              <w:rPr>
                <w:rFonts w:hint="eastAsia"/>
                <w:szCs w:val="21"/>
              </w:rPr>
              <w:t>发明专利</w:t>
            </w:r>
          </w:p>
        </w:tc>
        <w:tc>
          <w:tcPr>
            <w:tcW w:w="1730" w:type="dxa"/>
            <w:vAlign w:val="center"/>
          </w:tcPr>
          <w:p>
            <w:r>
              <w:rPr>
                <w:rFonts w:hint="eastAsia"/>
              </w:rPr>
              <w:t>丁兆堂，王玉，范凯</w:t>
            </w:r>
          </w:p>
        </w:tc>
        <w:tc>
          <w:tcPr>
            <w:tcW w:w="1696" w:type="dxa"/>
            <w:vAlign w:val="center"/>
          </w:tcPr>
          <w:p>
            <w:r>
              <w:rPr>
                <w:rFonts w:hint="eastAsia"/>
              </w:rPr>
              <w:t>青岛农业大学</w:t>
            </w:r>
          </w:p>
        </w:tc>
        <w:tc>
          <w:tcPr>
            <w:tcW w:w="2264" w:type="dxa"/>
            <w:vAlign w:val="center"/>
          </w:tcPr>
          <w:p>
            <w:pPr>
              <w:jc w:val="left"/>
            </w:pPr>
            <w:r>
              <w:rPr>
                <w:rFonts w:hint="eastAsia"/>
              </w:rPr>
              <w:t>ZL201110338124.7</w:t>
            </w:r>
          </w:p>
        </w:tc>
        <w:tc>
          <w:tcPr>
            <w:tcW w:w="1358" w:type="dxa"/>
            <w:vAlign w:val="center"/>
          </w:tcPr>
          <w:p>
            <w:pPr>
              <w:jc w:val="center"/>
            </w:pPr>
            <w:r>
              <w:rPr>
                <w:rFonts w:hint="eastAsia"/>
              </w:rPr>
              <w:t>2013.09.25</w:t>
            </w:r>
          </w:p>
        </w:tc>
        <w:tc>
          <w:tcPr>
            <w:tcW w:w="846" w:type="dxa"/>
            <w:vAlign w:val="center"/>
          </w:tcPr>
          <w:p>
            <w:pPr>
              <w:jc w:val="center"/>
            </w:pPr>
            <w:r>
              <w:rPr>
                <w:rFonts w:hint="eastAsia"/>
              </w:rPr>
              <w:t>中国</w:t>
            </w:r>
          </w:p>
        </w:tc>
        <w:tc>
          <w:tcPr>
            <w:tcW w:w="1126" w:type="dxa"/>
            <w:vAlign w:val="center"/>
          </w:tcPr>
          <w:p>
            <w:pPr>
              <w:jc w:val="center"/>
            </w:pPr>
            <w:r>
              <w:rPr>
                <w:rFonts w:hint="eastAsia"/>
              </w:rPr>
              <w:t>证书</w:t>
            </w:r>
          </w:p>
        </w:tc>
        <w:tc>
          <w:tcPr>
            <w:tcW w:w="919" w:type="dxa"/>
            <w:vAlign w:val="center"/>
          </w:tcPr>
          <w:p>
            <w:pPr>
              <w:jc w:val="center"/>
            </w:pPr>
          </w:p>
        </w:tc>
      </w:tr>
      <w:tr>
        <w:trPr>
          <w:trHeight w:val="491" w:hRule="atLeast"/>
          <w:jc w:val="center"/>
        </w:trPr>
        <w:tc>
          <w:tcPr>
            <w:tcW w:w="477" w:type="dxa"/>
            <w:vAlign w:val="center"/>
          </w:tcPr>
          <w:p>
            <w:pPr>
              <w:jc w:val="center"/>
            </w:pPr>
            <w:r>
              <w:rPr>
                <w:rFonts w:hint="eastAsia"/>
              </w:rPr>
              <w:t>2</w:t>
            </w:r>
          </w:p>
        </w:tc>
        <w:tc>
          <w:tcPr>
            <w:tcW w:w="2952" w:type="dxa"/>
            <w:vAlign w:val="center"/>
          </w:tcPr>
          <w:p>
            <w:pPr>
              <w:rPr>
                <w:color w:val="000000"/>
              </w:rPr>
            </w:pPr>
            <w:r>
              <w:rPr>
                <w:rFonts w:hint="eastAsia"/>
                <w:color w:val="000000"/>
              </w:rPr>
              <w:t>茶树扦插苗壮苗喷施剂</w:t>
            </w:r>
          </w:p>
        </w:tc>
        <w:tc>
          <w:tcPr>
            <w:tcW w:w="1175" w:type="dxa"/>
            <w:vAlign w:val="center"/>
          </w:tcPr>
          <w:p>
            <w:pPr>
              <w:jc w:val="center"/>
              <w:rPr>
                <w:color w:val="000000"/>
                <w:szCs w:val="21"/>
              </w:rPr>
            </w:pPr>
            <w:r>
              <w:rPr>
                <w:rFonts w:hint="eastAsia"/>
                <w:color w:val="000000"/>
                <w:szCs w:val="21"/>
              </w:rPr>
              <w:t>发明专利</w:t>
            </w:r>
          </w:p>
        </w:tc>
        <w:tc>
          <w:tcPr>
            <w:tcW w:w="1730" w:type="dxa"/>
            <w:vAlign w:val="center"/>
          </w:tcPr>
          <w:p>
            <w:pPr>
              <w:rPr>
                <w:color w:val="000000"/>
              </w:rPr>
            </w:pPr>
            <w:r>
              <w:rPr>
                <w:rFonts w:hint="eastAsia"/>
                <w:color w:val="000000"/>
              </w:rPr>
              <w:t>丁兆堂，王玉</w:t>
            </w:r>
          </w:p>
        </w:tc>
        <w:tc>
          <w:tcPr>
            <w:tcW w:w="1696" w:type="dxa"/>
            <w:vAlign w:val="center"/>
          </w:tcPr>
          <w:p>
            <w:pPr>
              <w:rPr>
                <w:color w:val="000000"/>
              </w:rPr>
            </w:pPr>
            <w:r>
              <w:rPr>
                <w:rFonts w:hint="eastAsia"/>
                <w:color w:val="000000"/>
              </w:rPr>
              <w:t>青岛农业大学</w:t>
            </w:r>
          </w:p>
        </w:tc>
        <w:tc>
          <w:tcPr>
            <w:tcW w:w="2264" w:type="dxa"/>
            <w:vAlign w:val="center"/>
          </w:tcPr>
          <w:p>
            <w:pPr>
              <w:jc w:val="left"/>
              <w:rPr>
                <w:color w:val="000000"/>
              </w:rPr>
            </w:pPr>
            <w:r>
              <w:rPr>
                <w:rFonts w:hint="eastAsia"/>
                <w:color w:val="000000"/>
              </w:rPr>
              <w:t>ZL201210376519.0</w:t>
            </w:r>
          </w:p>
        </w:tc>
        <w:tc>
          <w:tcPr>
            <w:tcW w:w="1358" w:type="dxa"/>
            <w:vAlign w:val="center"/>
          </w:tcPr>
          <w:p>
            <w:pPr>
              <w:jc w:val="center"/>
              <w:rPr>
                <w:color w:val="000000"/>
              </w:rPr>
            </w:pPr>
            <w:r>
              <w:rPr>
                <w:rFonts w:hint="eastAsia"/>
                <w:color w:val="000000"/>
              </w:rPr>
              <w:t>2014.03.12</w:t>
            </w:r>
          </w:p>
        </w:tc>
        <w:tc>
          <w:tcPr>
            <w:tcW w:w="846" w:type="dxa"/>
            <w:vAlign w:val="center"/>
          </w:tcPr>
          <w:p>
            <w:pPr>
              <w:jc w:val="center"/>
              <w:rPr>
                <w:color w:val="000000"/>
              </w:rPr>
            </w:pPr>
            <w:r>
              <w:rPr>
                <w:rFonts w:hint="eastAsia"/>
                <w:color w:val="000000"/>
              </w:rPr>
              <w:t>中国</w:t>
            </w:r>
          </w:p>
        </w:tc>
        <w:tc>
          <w:tcPr>
            <w:tcW w:w="1126" w:type="dxa"/>
            <w:vAlign w:val="center"/>
          </w:tcPr>
          <w:p>
            <w:pPr>
              <w:jc w:val="center"/>
              <w:rPr>
                <w:color w:val="000000"/>
              </w:rPr>
            </w:pPr>
            <w:r>
              <w:rPr>
                <w:rFonts w:hint="eastAsia"/>
                <w:color w:val="000000"/>
              </w:rPr>
              <w:t>证书</w:t>
            </w:r>
          </w:p>
        </w:tc>
        <w:tc>
          <w:tcPr>
            <w:tcW w:w="919" w:type="dxa"/>
            <w:vAlign w:val="center"/>
          </w:tcPr>
          <w:p>
            <w:pPr>
              <w:jc w:val="center"/>
            </w:pPr>
          </w:p>
        </w:tc>
      </w:tr>
      <w:tr>
        <w:trPr>
          <w:trHeight w:val="690" w:hRule="atLeast"/>
          <w:jc w:val="center"/>
        </w:trPr>
        <w:tc>
          <w:tcPr>
            <w:tcW w:w="477" w:type="dxa"/>
            <w:vAlign w:val="center"/>
          </w:tcPr>
          <w:p>
            <w:pPr>
              <w:jc w:val="center"/>
            </w:pPr>
            <w:r>
              <w:rPr>
                <w:rFonts w:hint="eastAsia"/>
              </w:rPr>
              <w:t>3</w:t>
            </w:r>
          </w:p>
        </w:tc>
        <w:tc>
          <w:tcPr>
            <w:tcW w:w="2952" w:type="dxa"/>
            <w:vAlign w:val="center"/>
          </w:tcPr>
          <w:p>
            <w:r>
              <w:rPr>
                <w:rFonts w:hint="eastAsia"/>
              </w:rPr>
              <w:t>一种快速鉴定茶树苗期芽叶适制性的方法</w:t>
            </w:r>
          </w:p>
        </w:tc>
        <w:tc>
          <w:tcPr>
            <w:tcW w:w="1175" w:type="dxa"/>
            <w:vAlign w:val="center"/>
          </w:tcPr>
          <w:p>
            <w:pPr>
              <w:jc w:val="center"/>
              <w:rPr>
                <w:szCs w:val="21"/>
              </w:rPr>
            </w:pPr>
            <w:r>
              <w:rPr>
                <w:rFonts w:hint="eastAsia"/>
                <w:szCs w:val="21"/>
              </w:rPr>
              <w:t>发明专利</w:t>
            </w:r>
          </w:p>
        </w:tc>
        <w:tc>
          <w:tcPr>
            <w:tcW w:w="1730" w:type="dxa"/>
            <w:vAlign w:val="center"/>
          </w:tcPr>
          <w:p>
            <w:r>
              <w:rPr>
                <w:rFonts w:hint="eastAsia"/>
              </w:rPr>
              <w:t>丁兆堂，潘璐璐，王玉，张新富</w:t>
            </w:r>
          </w:p>
        </w:tc>
        <w:tc>
          <w:tcPr>
            <w:tcW w:w="1696" w:type="dxa"/>
            <w:vAlign w:val="center"/>
          </w:tcPr>
          <w:p>
            <w:r>
              <w:rPr>
                <w:rFonts w:hint="eastAsia"/>
              </w:rPr>
              <w:t>青岛农业大学</w:t>
            </w:r>
          </w:p>
        </w:tc>
        <w:tc>
          <w:tcPr>
            <w:tcW w:w="2264" w:type="dxa"/>
            <w:vAlign w:val="center"/>
          </w:tcPr>
          <w:p>
            <w:pPr>
              <w:jc w:val="left"/>
            </w:pPr>
            <w:r>
              <w:rPr>
                <w:rFonts w:hint="eastAsia"/>
              </w:rPr>
              <w:t>ZL2012 1 0537226.6，</w:t>
            </w:r>
          </w:p>
        </w:tc>
        <w:tc>
          <w:tcPr>
            <w:tcW w:w="1358" w:type="dxa"/>
            <w:vAlign w:val="center"/>
          </w:tcPr>
          <w:p>
            <w:pPr>
              <w:jc w:val="center"/>
            </w:pPr>
            <w:r>
              <w:rPr>
                <w:rFonts w:hint="eastAsia"/>
              </w:rPr>
              <w:t>2015.05.27</w:t>
            </w:r>
          </w:p>
        </w:tc>
        <w:tc>
          <w:tcPr>
            <w:tcW w:w="846" w:type="dxa"/>
            <w:vAlign w:val="center"/>
          </w:tcPr>
          <w:p>
            <w:pPr>
              <w:jc w:val="center"/>
            </w:pPr>
            <w:r>
              <w:rPr>
                <w:rFonts w:hint="eastAsia"/>
              </w:rPr>
              <w:t>中国</w:t>
            </w:r>
          </w:p>
        </w:tc>
        <w:tc>
          <w:tcPr>
            <w:tcW w:w="1126" w:type="dxa"/>
            <w:vAlign w:val="center"/>
          </w:tcPr>
          <w:p>
            <w:pPr>
              <w:jc w:val="center"/>
            </w:pPr>
            <w:r>
              <w:rPr>
                <w:rFonts w:hint="eastAsia"/>
              </w:rPr>
              <w:t>证书</w:t>
            </w:r>
          </w:p>
        </w:tc>
        <w:tc>
          <w:tcPr>
            <w:tcW w:w="919" w:type="dxa"/>
            <w:vAlign w:val="center"/>
          </w:tcPr>
          <w:p>
            <w:pPr>
              <w:jc w:val="center"/>
            </w:pPr>
          </w:p>
        </w:tc>
      </w:tr>
      <w:tr>
        <w:trPr>
          <w:trHeight w:val="690" w:hRule="atLeast"/>
          <w:jc w:val="center"/>
        </w:trPr>
        <w:tc>
          <w:tcPr>
            <w:tcW w:w="477" w:type="dxa"/>
            <w:vAlign w:val="center"/>
          </w:tcPr>
          <w:p>
            <w:pPr>
              <w:jc w:val="center"/>
            </w:pPr>
            <w:r>
              <w:rPr>
                <w:rFonts w:hint="eastAsia"/>
              </w:rPr>
              <w:t>4</w:t>
            </w:r>
          </w:p>
        </w:tc>
        <w:tc>
          <w:tcPr>
            <w:tcW w:w="2952" w:type="dxa"/>
            <w:vAlign w:val="center"/>
          </w:tcPr>
          <w:p>
            <w:r>
              <w:rPr>
                <w:rFonts w:hint="eastAsia"/>
              </w:rPr>
              <w:t>一种采用实时定量PCR技术检测茶树CBF1基因表达的方法</w:t>
            </w:r>
          </w:p>
        </w:tc>
        <w:tc>
          <w:tcPr>
            <w:tcW w:w="1175" w:type="dxa"/>
            <w:vAlign w:val="center"/>
          </w:tcPr>
          <w:p>
            <w:pPr>
              <w:jc w:val="center"/>
            </w:pPr>
            <w:r>
              <w:rPr>
                <w:rFonts w:hint="eastAsia"/>
                <w:szCs w:val="21"/>
              </w:rPr>
              <w:t>发明专利</w:t>
            </w:r>
          </w:p>
        </w:tc>
        <w:tc>
          <w:tcPr>
            <w:tcW w:w="1730" w:type="dxa"/>
            <w:vAlign w:val="center"/>
          </w:tcPr>
          <w:p>
            <w:r>
              <w:rPr>
                <w:rFonts w:hint="eastAsia"/>
              </w:rPr>
              <w:t>丁兆堂，郭秀丽，王玉，贾玉辉</w:t>
            </w:r>
          </w:p>
        </w:tc>
        <w:tc>
          <w:tcPr>
            <w:tcW w:w="1696" w:type="dxa"/>
            <w:vAlign w:val="center"/>
          </w:tcPr>
          <w:p>
            <w:r>
              <w:rPr>
                <w:rFonts w:hint="eastAsia"/>
              </w:rPr>
              <w:t>青岛农业大学</w:t>
            </w:r>
          </w:p>
        </w:tc>
        <w:tc>
          <w:tcPr>
            <w:tcW w:w="2264" w:type="dxa"/>
            <w:vAlign w:val="center"/>
          </w:tcPr>
          <w:p>
            <w:pPr>
              <w:jc w:val="left"/>
            </w:pPr>
            <w:r>
              <w:rPr>
                <w:rFonts w:hint="eastAsia"/>
              </w:rPr>
              <w:t>ZL2013 1 0000481.1</w:t>
            </w:r>
          </w:p>
        </w:tc>
        <w:tc>
          <w:tcPr>
            <w:tcW w:w="1358" w:type="dxa"/>
            <w:vAlign w:val="center"/>
          </w:tcPr>
          <w:p>
            <w:pPr>
              <w:jc w:val="center"/>
            </w:pPr>
            <w:r>
              <w:rPr>
                <w:rFonts w:hint="eastAsia"/>
              </w:rPr>
              <w:t>2015.08.26</w:t>
            </w:r>
          </w:p>
        </w:tc>
        <w:tc>
          <w:tcPr>
            <w:tcW w:w="846" w:type="dxa"/>
            <w:vAlign w:val="center"/>
          </w:tcPr>
          <w:p>
            <w:pPr>
              <w:jc w:val="center"/>
            </w:pPr>
            <w:r>
              <w:rPr>
                <w:rFonts w:hint="eastAsia"/>
              </w:rPr>
              <w:t>中国</w:t>
            </w:r>
          </w:p>
        </w:tc>
        <w:tc>
          <w:tcPr>
            <w:tcW w:w="1126" w:type="dxa"/>
            <w:vAlign w:val="center"/>
          </w:tcPr>
          <w:p>
            <w:pPr>
              <w:jc w:val="center"/>
            </w:pPr>
            <w:r>
              <w:rPr>
                <w:rFonts w:hint="eastAsia"/>
              </w:rPr>
              <w:t>证书</w:t>
            </w:r>
          </w:p>
        </w:tc>
        <w:tc>
          <w:tcPr>
            <w:tcW w:w="919" w:type="dxa"/>
            <w:vAlign w:val="center"/>
          </w:tcPr>
          <w:p>
            <w:pPr>
              <w:jc w:val="center"/>
            </w:pPr>
          </w:p>
        </w:tc>
      </w:tr>
      <w:tr>
        <w:trPr>
          <w:trHeight w:val="690" w:hRule="atLeast"/>
          <w:jc w:val="center"/>
        </w:trPr>
        <w:tc>
          <w:tcPr>
            <w:tcW w:w="477" w:type="dxa"/>
            <w:vAlign w:val="center"/>
          </w:tcPr>
          <w:p>
            <w:pPr>
              <w:jc w:val="center"/>
            </w:pPr>
            <w:r>
              <w:rPr>
                <w:rFonts w:hint="eastAsia"/>
              </w:rPr>
              <w:t>5</w:t>
            </w:r>
          </w:p>
        </w:tc>
        <w:tc>
          <w:tcPr>
            <w:tcW w:w="2952" w:type="dxa"/>
            <w:vAlign w:val="center"/>
          </w:tcPr>
          <w:p>
            <w:pPr>
              <w:rPr>
                <w:color w:val="000000"/>
              </w:rPr>
            </w:pPr>
            <w:r>
              <w:rPr>
                <w:rFonts w:hint="eastAsia"/>
                <w:color w:val="000000"/>
              </w:rPr>
              <w:t>一种适于较高pH值土壤茶苗移栽护苗基质</w:t>
            </w:r>
          </w:p>
        </w:tc>
        <w:tc>
          <w:tcPr>
            <w:tcW w:w="1175" w:type="dxa"/>
            <w:vAlign w:val="center"/>
          </w:tcPr>
          <w:p>
            <w:pPr>
              <w:jc w:val="center"/>
              <w:rPr>
                <w:color w:val="000000"/>
              </w:rPr>
            </w:pPr>
            <w:r>
              <w:rPr>
                <w:rFonts w:hint="eastAsia"/>
                <w:color w:val="000000"/>
              </w:rPr>
              <w:t>发明专利</w:t>
            </w:r>
          </w:p>
        </w:tc>
        <w:tc>
          <w:tcPr>
            <w:tcW w:w="1730" w:type="dxa"/>
            <w:vAlign w:val="center"/>
          </w:tcPr>
          <w:p>
            <w:pPr>
              <w:rPr>
                <w:color w:val="000000"/>
              </w:rPr>
            </w:pPr>
            <w:r>
              <w:rPr>
                <w:rFonts w:hint="eastAsia"/>
                <w:color w:val="000000"/>
              </w:rPr>
              <w:t>丁兆堂，王玉，贾玉辉，傅德龙</w:t>
            </w:r>
          </w:p>
        </w:tc>
        <w:tc>
          <w:tcPr>
            <w:tcW w:w="1696" w:type="dxa"/>
            <w:vAlign w:val="center"/>
          </w:tcPr>
          <w:p>
            <w:pPr>
              <w:rPr>
                <w:color w:val="000000"/>
              </w:rPr>
            </w:pPr>
            <w:r>
              <w:rPr>
                <w:rFonts w:hint="eastAsia"/>
                <w:color w:val="000000"/>
              </w:rPr>
              <w:t>青岛农业大学</w:t>
            </w:r>
          </w:p>
        </w:tc>
        <w:tc>
          <w:tcPr>
            <w:tcW w:w="2264" w:type="dxa"/>
            <w:vAlign w:val="center"/>
          </w:tcPr>
          <w:p>
            <w:pPr>
              <w:jc w:val="left"/>
              <w:rPr>
                <w:color w:val="000000"/>
              </w:rPr>
            </w:pPr>
            <w:r>
              <w:rPr>
                <w:rFonts w:hint="eastAsia"/>
                <w:color w:val="000000"/>
              </w:rPr>
              <w:t>ZL2013 1 0000425.8</w:t>
            </w:r>
          </w:p>
        </w:tc>
        <w:tc>
          <w:tcPr>
            <w:tcW w:w="1358" w:type="dxa"/>
            <w:vAlign w:val="center"/>
          </w:tcPr>
          <w:p>
            <w:pPr>
              <w:jc w:val="center"/>
              <w:rPr>
                <w:color w:val="000000"/>
              </w:rPr>
            </w:pPr>
            <w:r>
              <w:rPr>
                <w:rFonts w:hint="eastAsia"/>
                <w:color w:val="000000"/>
              </w:rPr>
              <w:t>2015.08.12</w:t>
            </w:r>
          </w:p>
        </w:tc>
        <w:tc>
          <w:tcPr>
            <w:tcW w:w="846" w:type="dxa"/>
            <w:vAlign w:val="center"/>
          </w:tcPr>
          <w:p>
            <w:pPr>
              <w:jc w:val="center"/>
              <w:rPr>
                <w:color w:val="000000"/>
              </w:rPr>
            </w:pPr>
            <w:r>
              <w:rPr>
                <w:rFonts w:hint="eastAsia"/>
                <w:color w:val="000000"/>
              </w:rPr>
              <w:t>中国</w:t>
            </w:r>
          </w:p>
        </w:tc>
        <w:tc>
          <w:tcPr>
            <w:tcW w:w="1126" w:type="dxa"/>
            <w:vAlign w:val="center"/>
          </w:tcPr>
          <w:p>
            <w:pPr>
              <w:jc w:val="center"/>
              <w:rPr>
                <w:color w:val="000000"/>
              </w:rPr>
            </w:pPr>
            <w:r>
              <w:rPr>
                <w:rFonts w:hint="eastAsia"/>
                <w:color w:val="000000"/>
              </w:rPr>
              <w:t>证书</w:t>
            </w:r>
          </w:p>
        </w:tc>
        <w:tc>
          <w:tcPr>
            <w:tcW w:w="919" w:type="dxa"/>
            <w:vAlign w:val="center"/>
          </w:tcPr>
          <w:p>
            <w:pPr>
              <w:jc w:val="center"/>
            </w:pPr>
          </w:p>
        </w:tc>
      </w:tr>
      <w:tr>
        <w:trPr>
          <w:trHeight w:val="690" w:hRule="atLeast"/>
          <w:jc w:val="center"/>
        </w:trPr>
        <w:tc>
          <w:tcPr>
            <w:tcW w:w="477" w:type="dxa"/>
            <w:vAlign w:val="center"/>
          </w:tcPr>
          <w:p>
            <w:pPr>
              <w:jc w:val="center"/>
            </w:pPr>
            <w:r>
              <w:rPr>
                <w:rFonts w:hint="eastAsia"/>
              </w:rPr>
              <w:t>6</w:t>
            </w:r>
          </w:p>
        </w:tc>
        <w:tc>
          <w:tcPr>
            <w:tcW w:w="2952" w:type="dxa"/>
            <w:vAlign w:val="center"/>
          </w:tcPr>
          <w:p>
            <w:r>
              <w:rPr>
                <w:rFonts w:hint="eastAsia"/>
              </w:rPr>
              <w:t>‘瑞雪’茶</w:t>
            </w:r>
          </w:p>
        </w:tc>
        <w:tc>
          <w:tcPr>
            <w:tcW w:w="1175" w:type="dxa"/>
            <w:vAlign w:val="center"/>
          </w:tcPr>
          <w:p>
            <w:pPr>
              <w:jc w:val="center"/>
            </w:pPr>
            <w:r>
              <w:rPr>
                <w:rFonts w:hint="eastAsia"/>
              </w:rPr>
              <w:t>新品种</w:t>
            </w:r>
          </w:p>
        </w:tc>
        <w:tc>
          <w:tcPr>
            <w:tcW w:w="1730" w:type="dxa"/>
            <w:vAlign w:val="center"/>
          </w:tcPr>
          <w:p>
            <w:r>
              <w:rPr>
                <w:rFonts w:hint="eastAsia"/>
              </w:rPr>
              <w:t>丁兆堂，王玉，</w:t>
            </w:r>
          </w:p>
        </w:tc>
        <w:tc>
          <w:tcPr>
            <w:tcW w:w="1696" w:type="dxa"/>
            <w:vAlign w:val="center"/>
          </w:tcPr>
          <w:p>
            <w:r>
              <w:rPr>
                <w:rFonts w:hint="eastAsia"/>
              </w:rPr>
              <w:t>青岛农业大学</w:t>
            </w:r>
          </w:p>
        </w:tc>
        <w:tc>
          <w:tcPr>
            <w:tcW w:w="2264" w:type="dxa"/>
            <w:vAlign w:val="center"/>
          </w:tcPr>
          <w:p>
            <w:pPr>
              <w:jc w:val="left"/>
            </w:pPr>
            <w:r>
              <w:rPr>
                <w:rFonts w:hint="eastAsia"/>
              </w:rPr>
              <w:t>鲁S-SV-CS-018-2011</w:t>
            </w:r>
          </w:p>
        </w:tc>
        <w:tc>
          <w:tcPr>
            <w:tcW w:w="1358" w:type="dxa"/>
            <w:vAlign w:val="center"/>
          </w:tcPr>
          <w:p>
            <w:pPr>
              <w:jc w:val="center"/>
            </w:pPr>
            <w:r>
              <w:rPr>
                <w:rFonts w:hint="eastAsia"/>
              </w:rPr>
              <w:t>2011.12.29</w:t>
            </w:r>
          </w:p>
        </w:tc>
        <w:tc>
          <w:tcPr>
            <w:tcW w:w="846" w:type="dxa"/>
            <w:vAlign w:val="center"/>
          </w:tcPr>
          <w:p>
            <w:pPr>
              <w:jc w:val="center"/>
            </w:pPr>
            <w:r>
              <w:rPr>
                <w:rFonts w:hint="eastAsia"/>
              </w:rPr>
              <w:t>中国</w:t>
            </w:r>
          </w:p>
        </w:tc>
        <w:tc>
          <w:tcPr>
            <w:tcW w:w="1126" w:type="dxa"/>
            <w:vAlign w:val="center"/>
          </w:tcPr>
          <w:p>
            <w:pPr>
              <w:jc w:val="center"/>
            </w:pPr>
            <w:r>
              <w:rPr>
                <w:rFonts w:hint="eastAsia"/>
              </w:rPr>
              <w:t>证书</w:t>
            </w:r>
          </w:p>
        </w:tc>
        <w:tc>
          <w:tcPr>
            <w:tcW w:w="919" w:type="dxa"/>
            <w:vAlign w:val="center"/>
          </w:tcPr>
          <w:p>
            <w:pPr>
              <w:jc w:val="center"/>
            </w:pPr>
          </w:p>
        </w:tc>
      </w:tr>
      <w:tr>
        <w:trPr>
          <w:trHeight w:val="690" w:hRule="atLeast"/>
          <w:jc w:val="center"/>
        </w:trPr>
        <w:tc>
          <w:tcPr>
            <w:tcW w:w="477" w:type="dxa"/>
            <w:vAlign w:val="center"/>
          </w:tcPr>
          <w:p>
            <w:pPr>
              <w:jc w:val="center"/>
            </w:pPr>
            <w:r>
              <w:rPr>
                <w:rFonts w:hint="eastAsia"/>
              </w:rPr>
              <w:t>7</w:t>
            </w:r>
          </w:p>
        </w:tc>
        <w:tc>
          <w:tcPr>
            <w:tcW w:w="2952" w:type="dxa"/>
            <w:vAlign w:val="center"/>
          </w:tcPr>
          <w:p>
            <w:pPr>
              <w:rPr>
                <w:color w:val="000000"/>
              </w:rPr>
            </w:pPr>
            <w:r>
              <w:rPr>
                <w:rFonts w:hint="eastAsia"/>
                <w:color w:val="000000"/>
              </w:rPr>
              <w:t>‘香雪’茶</w:t>
            </w:r>
          </w:p>
        </w:tc>
        <w:tc>
          <w:tcPr>
            <w:tcW w:w="1175" w:type="dxa"/>
            <w:vAlign w:val="center"/>
          </w:tcPr>
          <w:p>
            <w:pPr>
              <w:jc w:val="center"/>
            </w:pPr>
            <w:r>
              <w:rPr>
                <w:rFonts w:hint="eastAsia"/>
              </w:rPr>
              <w:t>新品种</w:t>
            </w:r>
          </w:p>
        </w:tc>
        <w:tc>
          <w:tcPr>
            <w:tcW w:w="1730" w:type="dxa"/>
            <w:vAlign w:val="center"/>
          </w:tcPr>
          <w:p>
            <w:r>
              <w:rPr>
                <w:rFonts w:hint="eastAsia"/>
              </w:rPr>
              <w:t>丁兆堂，王玉</w:t>
            </w:r>
          </w:p>
        </w:tc>
        <w:tc>
          <w:tcPr>
            <w:tcW w:w="1696" w:type="dxa"/>
            <w:vAlign w:val="center"/>
          </w:tcPr>
          <w:p>
            <w:r>
              <w:rPr>
                <w:rFonts w:hint="eastAsia"/>
              </w:rPr>
              <w:t>青岛农业大学</w:t>
            </w:r>
          </w:p>
        </w:tc>
        <w:tc>
          <w:tcPr>
            <w:tcW w:w="2264" w:type="dxa"/>
            <w:vAlign w:val="center"/>
          </w:tcPr>
          <w:p>
            <w:pPr>
              <w:jc w:val="left"/>
              <w:rPr>
                <w:b/>
              </w:rPr>
            </w:pPr>
            <w:r>
              <w:rPr>
                <w:rFonts w:hint="eastAsia"/>
              </w:rPr>
              <w:t>鲁S-SV-CS-024-2014</w:t>
            </w:r>
          </w:p>
        </w:tc>
        <w:tc>
          <w:tcPr>
            <w:tcW w:w="1358" w:type="dxa"/>
            <w:vAlign w:val="center"/>
          </w:tcPr>
          <w:p>
            <w:pPr>
              <w:jc w:val="center"/>
            </w:pPr>
            <w:r>
              <w:rPr>
                <w:rFonts w:hint="eastAsia"/>
              </w:rPr>
              <w:t>2014.12.30</w:t>
            </w:r>
          </w:p>
        </w:tc>
        <w:tc>
          <w:tcPr>
            <w:tcW w:w="846" w:type="dxa"/>
            <w:vAlign w:val="center"/>
          </w:tcPr>
          <w:p>
            <w:pPr>
              <w:jc w:val="center"/>
            </w:pPr>
            <w:r>
              <w:rPr>
                <w:rFonts w:hint="eastAsia"/>
              </w:rPr>
              <w:t>中国</w:t>
            </w:r>
          </w:p>
        </w:tc>
        <w:tc>
          <w:tcPr>
            <w:tcW w:w="1126" w:type="dxa"/>
            <w:vAlign w:val="center"/>
          </w:tcPr>
          <w:p>
            <w:pPr>
              <w:jc w:val="center"/>
            </w:pPr>
            <w:r>
              <w:rPr>
                <w:rFonts w:hint="eastAsia"/>
              </w:rPr>
              <w:t>证书</w:t>
            </w:r>
          </w:p>
        </w:tc>
        <w:tc>
          <w:tcPr>
            <w:tcW w:w="919" w:type="dxa"/>
            <w:vAlign w:val="center"/>
          </w:tcPr>
          <w:p>
            <w:pPr>
              <w:jc w:val="center"/>
            </w:pPr>
          </w:p>
        </w:tc>
      </w:tr>
      <w:tr>
        <w:trPr>
          <w:trHeight w:val="505" w:hRule="atLeast"/>
          <w:jc w:val="center"/>
        </w:trPr>
        <w:tc>
          <w:tcPr>
            <w:tcW w:w="477" w:type="dxa"/>
            <w:vAlign w:val="center"/>
          </w:tcPr>
          <w:p>
            <w:pPr>
              <w:jc w:val="center"/>
            </w:pPr>
            <w:r>
              <w:rPr>
                <w:rFonts w:hint="eastAsia"/>
              </w:rPr>
              <w:t>8</w:t>
            </w:r>
          </w:p>
        </w:tc>
        <w:tc>
          <w:tcPr>
            <w:tcW w:w="2952" w:type="dxa"/>
            <w:vAlign w:val="center"/>
          </w:tcPr>
          <w:p>
            <w:r>
              <w:rPr>
                <w:rFonts w:hint="eastAsia"/>
              </w:rPr>
              <w:t>‘寒梅’茶</w:t>
            </w:r>
          </w:p>
        </w:tc>
        <w:tc>
          <w:tcPr>
            <w:tcW w:w="1175" w:type="dxa"/>
            <w:vAlign w:val="center"/>
          </w:tcPr>
          <w:p>
            <w:pPr>
              <w:jc w:val="center"/>
            </w:pPr>
            <w:r>
              <w:rPr>
                <w:rFonts w:hint="eastAsia"/>
              </w:rPr>
              <w:t>新品种</w:t>
            </w:r>
          </w:p>
        </w:tc>
        <w:tc>
          <w:tcPr>
            <w:tcW w:w="1730" w:type="dxa"/>
            <w:vAlign w:val="center"/>
          </w:tcPr>
          <w:p>
            <w:r>
              <w:rPr>
                <w:rFonts w:hint="eastAsia"/>
              </w:rPr>
              <w:t>丁兆堂，王玉</w:t>
            </w:r>
          </w:p>
        </w:tc>
        <w:tc>
          <w:tcPr>
            <w:tcW w:w="1696" w:type="dxa"/>
            <w:vAlign w:val="center"/>
          </w:tcPr>
          <w:p>
            <w:r>
              <w:rPr>
                <w:rFonts w:hint="eastAsia"/>
              </w:rPr>
              <w:t>青岛农业大学</w:t>
            </w:r>
          </w:p>
        </w:tc>
        <w:tc>
          <w:tcPr>
            <w:tcW w:w="2264" w:type="dxa"/>
            <w:vAlign w:val="center"/>
          </w:tcPr>
          <w:p>
            <w:pPr>
              <w:jc w:val="left"/>
            </w:pPr>
            <w:r>
              <w:rPr>
                <w:rFonts w:hint="eastAsia"/>
              </w:rPr>
              <w:t>鲁科成鉴字[2013]474号</w:t>
            </w:r>
          </w:p>
        </w:tc>
        <w:tc>
          <w:tcPr>
            <w:tcW w:w="1358" w:type="dxa"/>
            <w:vAlign w:val="center"/>
          </w:tcPr>
          <w:p>
            <w:pPr>
              <w:jc w:val="center"/>
            </w:pPr>
            <w:r>
              <w:rPr>
                <w:rFonts w:hint="eastAsia"/>
              </w:rPr>
              <w:t>2013.07.12</w:t>
            </w:r>
          </w:p>
        </w:tc>
        <w:tc>
          <w:tcPr>
            <w:tcW w:w="846" w:type="dxa"/>
            <w:vAlign w:val="center"/>
          </w:tcPr>
          <w:p>
            <w:pPr>
              <w:jc w:val="center"/>
            </w:pPr>
            <w:r>
              <w:rPr>
                <w:rFonts w:hint="eastAsia"/>
              </w:rPr>
              <w:t>中国</w:t>
            </w:r>
          </w:p>
        </w:tc>
        <w:tc>
          <w:tcPr>
            <w:tcW w:w="1126" w:type="dxa"/>
            <w:vAlign w:val="center"/>
          </w:tcPr>
          <w:p>
            <w:pPr>
              <w:jc w:val="center"/>
            </w:pPr>
            <w:r>
              <w:rPr>
                <w:rFonts w:hint="eastAsia"/>
              </w:rPr>
              <w:t>鉴定证书</w:t>
            </w:r>
          </w:p>
        </w:tc>
        <w:tc>
          <w:tcPr>
            <w:tcW w:w="919" w:type="dxa"/>
            <w:vAlign w:val="center"/>
          </w:tcPr>
          <w:p>
            <w:pPr>
              <w:jc w:val="center"/>
            </w:pPr>
          </w:p>
        </w:tc>
      </w:tr>
      <w:tr>
        <w:trPr>
          <w:trHeight w:val="727" w:hRule="atLeast"/>
          <w:jc w:val="center"/>
        </w:trPr>
        <w:tc>
          <w:tcPr>
            <w:tcW w:w="477" w:type="dxa"/>
            <w:vAlign w:val="center"/>
          </w:tcPr>
          <w:p>
            <w:pPr>
              <w:jc w:val="center"/>
            </w:pPr>
            <w:r>
              <w:rPr>
                <w:rFonts w:hint="eastAsia"/>
              </w:rPr>
              <w:t>9</w:t>
            </w:r>
          </w:p>
        </w:tc>
        <w:tc>
          <w:tcPr>
            <w:tcW w:w="2952" w:type="dxa"/>
            <w:vAlign w:val="center"/>
          </w:tcPr>
          <w:p>
            <w:pPr>
              <w:rPr>
                <w:rFonts w:ascii="宋体" w:hAnsi="宋体"/>
                <w:szCs w:val="21"/>
              </w:rPr>
            </w:pPr>
            <w:r>
              <w:rPr>
                <w:rFonts w:hint="eastAsia" w:ascii="宋体" w:hAnsi="宋体"/>
                <w:szCs w:val="21"/>
              </w:rPr>
              <w:t>茶园越冬防护技术规程</w:t>
            </w:r>
          </w:p>
        </w:tc>
        <w:tc>
          <w:tcPr>
            <w:tcW w:w="1175" w:type="dxa"/>
            <w:vAlign w:val="center"/>
          </w:tcPr>
          <w:p>
            <w:pPr>
              <w:jc w:val="center"/>
            </w:pPr>
            <w:r>
              <w:rPr>
                <w:rFonts w:hint="eastAsia"/>
              </w:rPr>
              <w:t>山东省地方标准</w:t>
            </w:r>
          </w:p>
        </w:tc>
        <w:tc>
          <w:tcPr>
            <w:tcW w:w="1730" w:type="dxa"/>
            <w:vAlign w:val="center"/>
          </w:tcPr>
          <w:p>
            <w:r>
              <w:rPr>
                <w:rFonts w:hint="eastAsia"/>
              </w:rPr>
              <w:t>李玉胜、段家祥、王志刚、高文胜、崔秀峰、于国合</w:t>
            </w:r>
          </w:p>
        </w:tc>
        <w:tc>
          <w:tcPr>
            <w:tcW w:w="1696" w:type="dxa"/>
            <w:vAlign w:val="center"/>
          </w:tcPr>
          <w:p>
            <w:r>
              <w:rPr>
                <w:rFonts w:hint="eastAsia"/>
              </w:rPr>
              <w:t>山东省果茶技术指导站</w:t>
            </w:r>
          </w:p>
        </w:tc>
        <w:tc>
          <w:tcPr>
            <w:tcW w:w="2264" w:type="dxa"/>
            <w:vAlign w:val="center"/>
          </w:tcPr>
          <w:p>
            <w:pPr>
              <w:jc w:val="left"/>
            </w:pPr>
            <w:r>
              <w:t>DB 37/T 2268</w:t>
            </w:r>
            <w:r>
              <w:rPr>
                <w:rFonts w:hint="eastAsia"/>
              </w:rPr>
              <w:t>－</w:t>
            </w:r>
            <w:r>
              <w:t>2013</w:t>
            </w:r>
          </w:p>
        </w:tc>
        <w:tc>
          <w:tcPr>
            <w:tcW w:w="1358" w:type="dxa"/>
            <w:vAlign w:val="center"/>
          </w:tcPr>
          <w:p>
            <w:pPr>
              <w:jc w:val="center"/>
            </w:pPr>
            <w:r>
              <w:rPr>
                <w:rFonts w:hint="eastAsia"/>
              </w:rPr>
              <w:t>2013.04.01</w:t>
            </w:r>
          </w:p>
        </w:tc>
        <w:tc>
          <w:tcPr>
            <w:tcW w:w="846" w:type="dxa"/>
            <w:vAlign w:val="center"/>
          </w:tcPr>
          <w:p>
            <w:pPr>
              <w:jc w:val="center"/>
            </w:pPr>
            <w:r>
              <w:rPr>
                <w:rFonts w:hint="eastAsia"/>
              </w:rPr>
              <w:t>中国</w:t>
            </w:r>
          </w:p>
        </w:tc>
        <w:tc>
          <w:tcPr>
            <w:tcW w:w="1126" w:type="dxa"/>
            <w:vAlign w:val="center"/>
          </w:tcPr>
          <w:p>
            <w:pPr>
              <w:jc w:val="center"/>
            </w:pPr>
            <w:r>
              <w:rPr>
                <w:rFonts w:hint="eastAsia"/>
              </w:rPr>
              <w:t>证书</w:t>
            </w:r>
          </w:p>
        </w:tc>
        <w:tc>
          <w:tcPr>
            <w:tcW w:w="919" w:type="dxa"/>
            <w:vAlign w:val="center"/>
          </w:tcPr>
          <w:p>
            <w:pPr>
              <w:jc w:val="center"/>
            </w:pPr>
          </w:p>
        </w:tc>
      </w:tr>
      <w:tr>
        <w:trPr>
          <w:trHeight w:val="484" w:hRule="atLeast"/>
          <w:jc w:val="center"/>
        </w:trPr>
        <w:tc>
          <w:tcPr>
            <w:tcW w:w="477" w:type="dxa"/>
            <w:vAlign w:val="center"/>
          </w:tcPr>
          <w:p>
            <w:pPr>
              <w:jc w:val="center"/>
            </w:pPr>
            <w:r>
              <w:rPr>
                <w:rFonts w:hint="eastAsia"/>
              </w:rPr>
              <w:t>10</w:t>
            </w:r>
          </w:p>
        </w:tc>
        <w:tc>
          <w:tcPr>
            <w:tcW w:w="2952" w:type="dxa"/>
            <w:vAlign w:val="center"/>
          </w:tcPr>
          <w:p>
            <w:pPr>
              <w:rPr>
                <w:bCs/>
              </w:rPr>
            </w:pPr>
            <w:r>
              <w:rPr>
                <w:rFonts w:hint="eastAsia"/>
                <w:bCs/>
              </w:rPr>
              <w:t>大棚茶园小气候观测系统</w:t>
            </w:r>
          </w:p>
          <w:p/>
        </w:tc>
        <w:tc>
          <w:tcPr>
            <w:tcW w:w="1175" w:type="dxa"/>
            <w:vAlign w:val="center"/>
          </w:tcPr>
          <w:p>
            <w:pPr>
              <w:jc w:val="center"/>
            </w:pPr>
            <w:r>
              <w:rPr>
                <w:rFonts w:hint="eastAsia"/>
              </w:rPr>
              <w:t>软件著作权</w:t>
            </w:r>
          </w:p>
        </w:tc>
        <w:tc>
          <w:tcPr>
            <w:tcW w:w="1730" w:type="dxa"/>
            <w:vAlign w:val="center"/>
          </w:tcPr>
          <w:p>
            <w:r>
              <w:rPr>
                <w:rFonts w:hint="eastAsia"/>
              </w:rPr>
              <w:t>马德新，丁兆堂，王玉</w:t>
            </w:r>
          </w:p>
        </w:tc>
        <w:tc>
          <w:tcPr>
            <w:tcW w:w="1696" w:type="dxa"/>
            <w:vAlign w:val="center"/>
          </w:tcPr>
          <w:p>
            <w:r>
              <w:rPr>
                <w:rFonts w:hint="eastAsia"/>
              </w:rPr>
              <w:t>青岛农业大学</w:t>
            </w:r>
          </w:p>
        </w:tc>
        <w:tc>
          <w:tcPr>
            <w:tcW w:w="2264" w:type="dxa"/>
            <w:vAlign w:val="center"/>
          </w:tcPr>
          <w:p>
            <w:pPr>
              <w:jc w:val="left"/>
            </w:pPr>
            <w:r>
              <w:rPr>
                <w:rFonts w:hint="eastAsia"/>
              </w:rPr>
              <w:t>2015SR266780</w:t>
            </w:r>
          </w:p>
        </w:tc>
        <w:tc>
          <w:tcPr>
            <w:tcW w:w="1358" w:type="dxa"/>
            <w:vAlign w:val="center"/>
          </w:tcPr>
          <w:p>
            <w:pPr>
              <w:jc w:val="center"/>
            </w:pPr>
            <w:r>
              <w:rPr>
                <w:rFonts w:hint="eastAsia"/>
              </w:rPr>
              <w:t>2015.12.18</w:t>
            </w:r>
          </w:p>
        </w:tc>
        <w:tc>
          <w:tcPr>
            <w:tcW w:w="846" w:type="dxa"/>
            <w:vAlign w:val="center"/>
          </w:tcPr>
          <w:p>
            <w:pPr>
              <w:jc w:val="center"/>
            </w:pPr>
            <w:r>
              <w:rPr>
                <w:rFonts w:hint="eastAsia"/>
              </w:rPr>
              <w:t>中国</w:t>
            </w:r>
          </w:p>
        </w:tc>
        <w:tc>
          <w:tcPr>
            <w:tcW w:w="1126" w:type="dxa"/>
            <w:vAlign w:val="center"/>
          </w:tcPr>
          <w:p>
            <w:pPr>
              <w:jc w:val="center"/>
            </w:pPr>
            <w:r>
              <w:rPr>
                <w:rFonts w:hint="eastAsia"/>
              </w:rPr>
              <w:t>证书</w:t>
            </w:r>
          </w:p>
        </w:tc>
        <w:tc>
          <w:tcPr>
            <w:tcW w:w="919" w:type="dxa"/>
            <w:vAlign w:val="center"/>
          </w:tcPr>
          <w:p>
            <w:pPr>
              <w:jc w:val="center"/>
            </w:pPr>
          </w:p>
        </w:tc>
      </w:tr>
    </w:tbl>
    <w:p>
      <w:pPr>
        <w:pStyle w:val="2"/>
        <w:adjustRightInd w:val="0"/>
        <w:snapToGrid w:val="0"/>
        <w:spacing w:before="0" w:after="0" w:line="240" w:lineRule="atLeast"/>
        <w:rPr>
          <w:rStyle w:val="11"/>
          <w:rFonts w:ascii="黑体" w:hAnsi="黑体"/>
          <w:b w:val="0"/>
          <w:strike/>
          <w:sz w:val="28"/>
          <w:szCs w:val="28"/>
          <w:lang w:eastAsia="zh-CN"/>
        </w:rPr>
      </w:pPr>
      <w:r>
        <w:rPr>
          <w:rFonts w:ascii="黑体" w:hAnsi="黑体"/>
        </w:rPr>
        <w:br w:type="page"/>
      </w:r>
      <w:r>
        <w:rPr>
          <w:rFonts w:hint="eastAsia"/>
          <w:bCs/>
          <w:lang w:eastAsia="zh-CN"/>
        </w:rPr>
        <w:t xml:space="preserve"> </w:t>
      </w:r>
    </w:p>
    <w:tbl>
      <w:tblPr>
        <w:tblW w:w="144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left w:w="108" w:type="dxa"/>
          <w:right w:w="108" w:type="dxa"/>
        </w:tblCellMar>
      </w:tblPr>
      <w:tblGrid>
        <w:gridCol w:w="479"/>
        <w:gridCol w:w="4853"/>
        <w:gridCol w:w="2977"/>
        <w:gridCol w:w="1482"/>
        <w:gridCol w:w="3403"/>
        <w:gridCol w:w="1265"/>
      </w:tblGrid>
      <w:tr>
        <w:trPr>
          <w:jc w:val="center"/>
        </w:trPr>
        <w:tc>
          <w:tcPr>
            <w:tcW w:w="479" w:type="dxa"/>
            <w:vAlign w:val="center"/>
          </w:tcPr>
          <w:p>
            <w:pPr>
              <w:jc w:val="center"/>
              <w:rPr>
                <w:bCs/>
              </w:rPr>
            </w:pPr>
            <w:r>
              <w:rPr>
                <w:rFonts w:hint="eastAsia"/>
                <w:bCs/>
              </w:rPr>
              <w:t>序号</w:t>
            </w:r>
          </w:p>
        </w:tc>
        <w:tc>
          <w:tcPr>
            <w:tcW w:w="4853" w:type="dxa"/>
            <w:vAlign w:val="center"/>
          </w:tcPr>
          <w:p>
            <w:pPr>
              <w:jc w:val="center"/>
              <w:rPr>
                <w:bCs/>
              </w:rPr>
            </w:pPr>
            <w:r>
              <w:rPr>
                <w:rFonts w:hint="eastAsia"/>
                <w:bCs/>
              </w:rPr>
              <w:t>论文专著名称</w:t>
            </w:r>
          </w:p>
        </w:tc>
        <w:tc>
          <w:tcPr>
            <w:tcW w:w="2977" w:type="dxa"/>
            <w:vAlign w:val="center"/>
          </w:tcPr>
          <w:p>
            <w:pPr>
              <w:jc w:val="center"/>
              <w:rPr>
                <w:bCs/>
              </w:rPr>
            </w:pPr>
            <w:r>
              <w:rPr>
                <w:rFonts w:hint="eastAsia"/>
                <w:bCs/>
              </w:rPr>
              <w:t>发表刊物（出版社）</w:t>
            </w:r>
          </w:p>
        </w:tc>
        <w:tc>
          <w:tcPr>
            <w:tcW w:w="1482" w:type="dxa"/>
            <w:vAlign w:val="center"/>
          </w:tcPr>
          <w:p>
            <w:pPr>
              <w:jc w:val="center"/>
              <w:rPr>
                <w:bCs/>
              </w:rPr>
            </w:pPr>
            <w:r>
              <w:rPr>
                <w:rFonts w:hint="eastAsia"/>
                <w:bCs/>
              </w:rPr>
              <w:t>发表（出版）时间</w:t>
            </w:r>
          </w:p>
        </w:tc>
        <w:tc>
          <w:tcPr>
            <w:tcW w:w="3403" w:type="dxa"/>
            <w:vAlign w:val="center"/>
          </w:tcPr>
          <w:p>
            <w:pPr>
              <w:jc w:val="center"/>
              <w:rPr>
                <w:bCs/>
              </w:rPr>
            </w:pPr>
            <w:r>
              <w:rPr>
                <w:rFonts w:hint="eastAsia"/>
                <w:bCs/>
              </w:rPr>
              <w:t>作者（按刊物发表顺序）</w:t>
            </w:r>
          </w:p>
        </w:tc>
        <w:tc>
          <w:tcPr>
            <w:tcW w:w="1265" w:type="dxa"/>
            <w:vAlign w:val="center"/>
          </w:tcPr>
          <w:p>
            <w:pPr>
              <w:jc w:val="center"/>
              <w:rPr>
                <w:bCs/>
              </w:rPr>
            </w:pPr>
            <w:r>
              <w:rPr>
                <w:rFonts w:hint="eastAsia"/>
                <w:bCs/>
              </w:rPr>
              <w:t>证明材料</w:t>
            </w:r>
          </w:p>
        </w:tc>
      </w:tr>
      <w:tr>
        <w:trPr>
          <w:trHeight w:val="566" w:hRule="atLeast"/>
          <w:jc w:val="center"/>
        </w:trPr>
        <w:tc>
          <w:tcPr>
            <w:tcW w:w="479" w:type="dxa"/>
            <w:vAlign w:val="center"/>
          </w:tcPr>
          <w:p>
            <w:pPr>
              <w:jc w:val="center"/>
              <w:rPr>
                <w:rFonts w:ascii="Times New Roman" w:hAnsi="Times New Roman" w:cs="Times New Roman"/>
                <w:szCs w:val="21"/>
              </w:rPr>
            </w:pPr>
            <w:r>
              <w:rPr>
                <w:rFonts w:ascii="Times New Roman" w:hAnsi="Times New Roman" w:cs="Times New Roman"/>
                <w:szCs w:val="21"/>
              </w:rPr>
              <w:t>1</w:t>
            </w:r>
          </w:p>
        </w:tc>
        <w:tc>
          <w:tcPr>
            <w:tcW w:w="4853" w:type="dxa"/>
            <w:vAlign w:val="center"/>
          </w:tcPr>
          <w:p>
            <w:pPr>
              <w:spacing w:line="200" w:lineRule="atLeast"/>
              <w:rPr>
                <w:rFonts w:ascii="Times New Roman" w:hAnsi="Times New Roman" w:cs="Times New Roman"/>
                <w:szCs w:val="21"/>
              </w:rPr>
            </w:pPr>
            <w:r>
              <w:rPr>
                <w:rFonts w:ascii="Times New Roman" w:hAnsi="Times New Roman" w:cs="Times New Roman"/>
                <w:szCs w:val="21"/>
              </w:rPr>
              <w:t xml:space="preserve">Advances in Cold-tolerance Research on </w:t>
            </w:r>
            <w:r>
              <w:rPr>
                <w:rFonts w:ascii="Times New Roman" w:hAnsi="Times New Roman" w:cs="Times New Roman"/>
                <w:i/>
                <w:szCs w:val="21"/>
              </w:rPr>
              <w:t>Camellia sinensis</w:t>
            </w:r>
            <w:r>
              <w:rPr>
                <w:rFonts w:ascii="Times New Roman" w:hAnsi="Times New Roman" w:cs="Times New Roman"/>
                <w:szCs w:val="21"/>
              </w:rPr>
              <w:t xml:space="preserve"> (L.) O.Kuntze</w:t>
            </w:r>
          </w:p>
        </w:tc>
        <w:tc>
          <w:tcPr>
            <w:tcW w:w="2977" w:type="dxa"/>
            <w:vAlign w:val="center"/>
          </w:tcPr>
          <w:p>
            <w:pPr>
              <w:spacing w:line="200" w:lineRule="atLeast"/>
              <w:rPr>
                <w:rFonts w:ascii="Times New Roman" w:hAnsi="Times New Roman" w:cs="Times New Roman"/>
                <w:szCs w:val="21"/>
              </w:rPr>
            </w:pPr>
            <w:r>
              <w:rPr>
                <w:rFonts w:ascii="Times New Roman" w:hAnsi="Times New Roman" w:cs="Times New Roman"/>
                <w:szCs w:val="21"/>
              </w:rPr>
              <w:t>Science Press（科学出版社）</w:t>
            </w:r>
          </w:p>
        </w:tc>
        <w:tc>
          <w:tcPr>
            <w:tcW w:w="1482" w:type="dxa"/>
            <w:vAlign w:val="center"/>
          </w:tcPr>
          <w:p>
            <w:pPr>
              <w:spacing w:line="200" w:lineRule="atLeast"/>
              <w:rPr>
                <w:rFonts w:ascii="Times New Roman" w:hAnsi="Times New Roman" w:cs="Times New Roman"/>
                <w:szCs w:val="21"/>
              </w:rPr>
            </w:pPr>
            <w:r>
              <w:rPr>
                <w:rFonts w:ascii="Times New Roman" w:hAnsi="Times New Roman" w:cs="Times New Roman"/>
                <w:szCs w:val="21"/>
              </w:rPr>
              <w:t>2015.11</w:t>
            </w:r>
          </w:p>
        </w:tc>
        <w:tc>
          <w:tcPr>
            <w:tcW w:w="3403" w:type="dxa"/>
            <w:vAlign w:val="center"/>
          </w:tcPr>
          <w:p>
            <w:pPr>
              <w:jc w:val="center"/>
              <w:rPr>
                <w:rFonts w:ascii="Times New Roman" w:hAnsi="Times New Roman" w:cs="Times New Roman"/>
                <w:szCs w:val="21"/>
              </w:rPr>
            </w:pPr>
            <w:r>
              <w:rPr>
                <w:rFonts w:ascii="Times New Roman" w:hAnsi="Times New Roman" w:cs="Times New Roman"/>
                <w:b/>
                <w:szCs w:val="21"/>
              </w:rPr>
              <w:t>Zhao-tang Ding,</w:t>
            </w:r>
            <w:r>
              <w:rPr>
                <w:rFonts w:ascii="Times New Roman" w:hAnsi="Times New Roman" w:cs="Times New Roman"/>
                <w:szCs w:val="21"/>
              </w:rPr>
              <w:t xml:space="preserve"> </w:t>
            </w:r>
            <w:r>
              <w:rPr>
                <w:rFonts w:ascii="Times New Roman" w:hAnsi="Times New Roman" w:cs="Times New Roman"/>
                <w:b/>
                <w:szCs w:val="21"/>
              </w:rPr>
              <w:t>Yu Wang</w:t>
            </w:r>
          </w:p>
        </w:tc>
        <w:tc>
          <w:tcPr>
            <w:tcW w:w="1265" w:type="dxa"/>
            <w:vAlign w:val="center"/>
          </w:tcPr>
          <w:p>
            <w:pPr>
              <w:jc w:val="center"/>
              <w:rPr>
                <w:rFonts w:ascii="Times New Roman" w:hAnsi="Times New Roman" w:cs="Times New Roman"/>
                <w:szCs w:val="21"/>
              </w:rPr>
            </w:pPr>
            <w:r>
              <w:rPr>
                <w:rFonts w:ascii="Times New Roman" w:hAnsi="Times New Roman" w:cs="Times New Roman"/>
                <w:szCs w:val="21"/>
              </w:rPr>
              <w:t>著作</w:t>
            </w:r>
          </w:p>
        </w:tc>
      </w:tr>
      <w:tr>
        <w:trPr>
          <w:trHeight w:val="765" w:hRule="atLeast"/>
          <w:jc w:val="center"/>
        </w:trPr>
        <w:tc>
          <w:tcPr>
            <w:tcW w:w="479" w:type="dxa"/>
            <w:vAlign w:val="center"/>
          </w:tcPr>
          <w:p>
            <w:pPr>
              <w:jc w:val="center"/>
              <w:rPr>
                <w:rFonts w:ascii="Times New Roman" w:hAnsi="Times New Roman" w:cs="Times New Roman"/>
                <w:szCs w:val="21"/>
              </w:rPr>
            </w:pPr>
            <w:r>
              <w:rPr>
                <w:rFonts w:ascii="Times New Roman" w:hAnsi="Times New Roman" w:cs="Times New Roman"/>
                <w:szCs w:val="21"/>
              </w:rPr>
              <w:t>2</w:t>
            </w:r>
          </w:p>
        </w:tc>
        <w:tc>
          <w:tcPr>
            <w:tcW w:w="4853" w:type="dxa"/>
            <w:vAlign w:val="center"/>
          </w:tcPr>
          <w:p>
            <w:pPr>
              <w:spacing w:line="200" w:lineRule="atLeast"/>
              <w:rPr>
                <w:rFonts w:ascii="Times New Roman" w:hAnsi="Times New Roman" w:cs="Times New Roman"/>
                <w:szCs w:val="21"/>
              </w:rPr>
            </w:pPr>
            <w:r>
              <w:rPr>
                <w:rFonts w:ascii="Times New Roman" w:hAnsi="Times New Roman" w:cs="Times New Roman"/>
                <w:szCs w:val="21"/>
              </w:rPr>
              <w:t xml:space="preserve">Integrated RNA-Seq and sRNA-Seq analysis identifies chilling and freezing responsive key molecular players and pathways in </w:t>
            </w:r>
            <w:r>
              <w:rPr>
                <w:rFonts w:ascii="Times New Roman" w:hAnsi="Times New Roman" w:cs="Times New Roman"/>
                <w:i/>
                <w:szCs w:val="21"/>
              </w:rPr>
              <w:t>Camellia sinensis</w:t>
            </w:r>
          </w:p>
        </w:tc>
        <w:tc>
          <w:tcPr>
            <w:tcW w:w="2977" w:type="dxa"/>
            <w:vAlign w:val="center"/>
          </w:tcPr>
          <w:p>
            <w:pPr>
              <w:spacing w:line="200" w:lineRule="atLeast"/>
              <w:jc w:val="center"/>
              <w:rPr>
                <w:rFonts w:ascii="Times New Roman" w:hAnsi="Times New Roman" w:cs="Times New Roman"/>
                <w:i/>
                <w:szCs w:val="21"/>
              </w:rPr>
            </w:pPr>
            <w:r>
              <w:rPr>
                <w:rFonts w:ascii="Times New Roman" w:hAnsi="Times New Roman" w:cs="Times New Roman"/>
                <w:i/>
                <w:szCs w:val="21"/>
              </w:rPr>
              <w:t>PLoS ONE</w:t>
            </w:r>
          </w:p>
          <w:p>
            <w:pPr>
              <w:spacing w:line="200" w:lineRule="atLeast"/>
              <w:jc w:val="center"/>
              <w:rPr>
                <w:rFonts w:ascii="Times New Roman" w:hAnsi="Times New Roman" w:cs="Times New Roman"/>
                <w:szCs w:val="21"/>
              </w:rPr>
            </w:pPr>
            <w:r>
              <w:rPr>
                <w:rFonts w:ascii="Times New Roman" w:hAnsi="Times New Roman" w:cs="Times New Roman"/>
                <w:szCs w:val="21"/>
              </w:rPr>
              <w:t>(SCI：IF=3.234)</w:t>
            </w:r>
          </w:p>
        </w:tc>
        <w:tc>
          <w:tcPr>
            <w:tcW w:w="1482" w:type="dxa"/>
            <w:vAlign w:val="center"/>
          </w:tcPr>
          <w:p>
            <w:pPr>
              <w:spacing w:line="200" w:lineRule="atLeast"/>
              <w:rPr>
                <w:rFonts w:ascii="Times New Roman" w:hAnsi="Times New Roman" w:cs="Times New Roman"/>
                <w:szCs w:val="21"/>
              </w:rPr>
            </w:pPr>
            <w:r>
              <w:rPr>
                <w:rFonts w:ascii="Times New Roman" w:hAnsi="Times New Roman" w:cs="Times New Roman"/>
                <w:szCs w:val="21"/>
              </w:rPr>
              <w:t>2015.04</w:t>
            </w:r>
          </w:p>
          <w:p>
            <w:pPr>
              <w:jc w:val="center"/>
              <w:rPr>
                <w:rFonts w:ascii="Times New Roman" w:hAnsi="Times New Roman" w:cs="Times New Roman"/>
                <w:szCs w:val="21"/>
              </w:rPr>
            </w:pPr>
          </w:p>
        </w:tc>
        <w:tc>
          <w:tcPr>
            <w:tcW w:w="3403" w:type="dxa"/>
            <w:vAlign w:val="center"/>
          </w:tcPr>
          <w:p>
            <w:pPr>
              <w:jc w:val="center"/>
              <w:rPr>
                <w:rFonts w:ascii="Times New Roman" w:hAnsi="Times New Roman" w:cs="Times New Roman"/>
                <w:szCs w:val="21"/>
              </w:rPr>
            </w:pPr>
            <w:r>
              <w:rPr>
                <w:rFonts w:ascii="Times New Roman" w:hAnsi="Times New Roman" w:cs="Times New Roman"/>
                <w:szCs w:val="21"/>
              </w:rPr>
              <w:t xml:space="preserve">Chao Zheng, Lei Zhao, </w:t>
            </w:r>
            <w:r>
              <w:rPr>
                <w:rFonts w:ascii="Times New Roman" w:hAnsi="Times New Roman" w:cs="Times New Roman"/>
                <w:b/>
                <w:szCs w:val="21"/>
              </w:rPr>
              <w:t>Yu Wang</w:t>
            </w:r>
            <w:r>
              <w:rPr>
                <w:rFonts w:ascii="Times New Roman" w:hAnsi="Times New Roman" w:cs="Times New Roman"/>
                <w:szCs w:val="21"/>
              </w:rPr>
              <w:t>, Jiazhi Shen, Yinfei Zhang, Sisi Jia, Yusheng Li,</w:t>
            </w:r>
            <w:r>
              <w:rPr>
                <w:rFonts w:ascii="Times New Roman" w:hAnsi="Times New Roman" w:cs="Times New Roman"/>
                <w:b/>
                <w:szCs w:val="21"/>
              </w:rPr>
              <w:t xml:space="preserve"> Zhaotang Ding</w:t>
            </w:r>
            <w:r>
              <w:rPr>
                <w:rFonts w:ascii="Times New Roman" w:hAnsi="Times New Roman" w:cs="Times New Roman"/>
                <w:b/>
                <w:szCs w:val="21"/>
                <w:vertAlign w:val="superscript"/>
              </w:rPr>
              <w:t>*</w:t>
            </w:r>
          </w:p>
        </w:tc>
        <w:tc>
          <w:tcPr>
            <w:tcW w:w="1265" w:type="dxa"/>
            <w:vAlign w:val="center"/>
          </w:tcPr>
          <w:p>
            <w:pPr>
              <w:jc w:val="center"/>
              <w:rPr>
                <w:rFonts w:ascii="Times New Roman" w:hAnsi="Times New Roman" w:cs="Times New Roman"/>
                <w:szCs w:val="21"/>
              </w:rPr>
            </w:pPr>
            <w:r>
              <w:rPr>
                <w:rFonts w:ascii="Times New Roman" w:hAnsi="Times New Roman" w:cs="Times New Roman"/>
                <w:szCs w:val="21"/>
              </w:rPr>
              <w:t>论文</w:t>
            </w:r>
          </w:p>
        </w:tc>
      </w:tr>
      <w:tr>
        <w:trPr>
          <w:trHeight w:val="626" w:hRule="atLeast"/>
          <w:jc w:val="center"/>
        </w:trPr>
        <w:tc>
          <w:tcPr>
            <w:tcW w:w="479" w:type="dxa"/>
            <w:vAlign w:val="center"/>
          </w:tcPr>
          <w:p>
            <w:pPr>
              <w:jc w:val="center"/>
              <w:rPr>
                <w:rFonts w:ascii="Times New Roman" w:hAnsi="Times New Roman" w:cs="Times New Roman"/>
                <w:szCs w:val="21"/>
              </w:rPr>
            </w:pPr>
            <w:r>
              <w:rPr>
                <w:rFonts w:ascii="Times New Roman" w:hAnsi="Times New Roman" w:cs="Times New Roman"/>
                <w:szCs w:val="21"/>
              </w:rPr>
              <w:t>3</w:t>
            </w:r>
          </w:p>
        </w:tc>
        <w:tc>
          <w:tcPr>
            <w:tcW w:w="4853" w:type="dxa"/>
            <w:vAlign w:val="center"/>
          </w:tcPr>
          <w:p>
            <w:pPr>
              <w:spacing w:line="200" w:lineRule="atLeast"/>
              <w:rPr>
                <w:rFonts w:ascii="Times New Roman" w:hAnsi="Times New Roman" w:cs="Times New Roman"/>
                <w:szCs w:val="21"/>
              </w:rPr>
            </w:pPr>
            <w:r>
              <w:rPr>
                <w:rFonts w:ascii="Times New Roman" w:hAnsi="Times New Roman" w:cs="Times New Roman"/>
                <w:szCs w:val="21"/>
              </w:rPr>
              <w:t xml:space="preserve">Analysis of codon use features of stearoyl-acyl carrier protein desaturase gene in </w:t>
            </w:r>
            <w:r>
              <w:rPr>
                <w:rFonts w:ascii="Times New Roman" w:hAnsi="Times New Roman" w:cs="Times New Roman"/>
                <w:i/>
                <w:szCs w:val="21"/>
              </w:rPr>
              <w:t>Camellia sinensis</w:t>
            </w:r>
          </w:p>
        </w:tc>
        <w:tc>
          <w:tcPr>
            <w:tcW w:w="2977" w:type="dxa"/>
            <w:vAlign w:val="center"/>
          </w:tcPr>
          <w:p>
            <w:pPr>
              <w:spacing w:line="200" w:lineRule="atLeast"/>
              <w:rPr>
                <w:rFonts w:ascii="Times New Roman" w:hAnsi="Times New Roman" w:cs="Times New Roman"/>
                <w:szCs w:val="21"/>
              </w:rPr>
            </w:pPr>
            <w:r>
              <w:rPr>
                <w:rFonts w:ascii="Times New Roman" w:hAnsi="Times New Roman" w:cs="Times New Roman"/>
                <w:i/>
                <w:szCs w:val="21"/>
              </w:rPr>
              <w:t>Journal of Theoretical Biology</w:t>
            </w:r>
          </w:p>
          <w:p>
            <w:pPr>
              <w:jc w:val="center"/>
              <w:rPr>
                <w:rFonts w:ascii="Times New Roman" w:hAnsi="Times New Roman" w:cs="Times New Roman"/>
                <w:szCs w:val="21"/>
              </w:rPr>
            </w:pPr>
            <w:r>
              <w:rPr>
                <w:rFonts w:ascii="Times New Roman" w:hAnsi="Times New Roman" w:cs="Times New Roman"/>
                <w:szCs w:val="21"/>
              </w:rPr>
              <w:t>(SCI：IF=2.303)</w:t>
            </w:r>
          </w:p>
        </w:tc>
        <w:tc>
          <w:tcPr>
            <w:tcW w:w="1482" w:type="dxa"/>
            <w:vAlign w:val="center"/>
          </w:tcPr>
          <w:p>
            <w:pPr>
              <w:spacing w:line="200" w:lineRule="atLeast"/>
              <w:rPr>
                <w:rFonts w:ascii="Times New Roman" w:hAnsi="Times New Roman" w:cs="Times New Roman"/>
                <w:szCs w:val="21"/>
              </w:rPr>
            </w:pPr>
            <w:r>
              <w:rPr>
                <w:rFonts w:ascii="Times New Roman" w:hAnsi="Times New Roman" w:cs="Times New Roman"/>
                <w:szCs w:val="21"/>
              </w:rPr>
              <w:t>2013.10</w:t>
            </w:r>
          </w:p>
          <w:p>
            <w:pPr>
              <w:jc w:val="center"/>
              <w:rPr>
                <w:rFonts w:ascii="Times New Roman" w:hAnsi="Times New Roman" w:cs="Times New Roman"/>
                <w:szCs w:val="21"/>
              </w:rPr>
            </w:pPr>
          </w:p>
        </w:tc>
        <w:tc>
          <w:tcPr>
            <w:tcW w:w="3403" w:type="dxa"/>
            <w:vAlign w:val="center"/>
          </w:tcPr>
          <w:p>
            <w:pPr>
              <w:jc w:val="center"/>
              <w:rPr>
                <w:rFonts w:ascii="Times New Roman" w:hAnsi="Times New Roman" w:cs="Times New Roman"/>
                <w:szCs w:val="21"/>
              </w:rPr>
            </w:pPr>
            <w:r>
              <w:rPr>
                <w:rFonts w:ascii="Times New Roman" w:hAnsi="Times New Roman" w:cs="Times New Roman"/>
                <w:color w:val="000000"/>
                <w:kern w:val="0"/>
                <w:szCs w:val="21"/>
              </w:rPr>
              <w:t xml:space="preserve">Lu-Lu Pan, </w:t>
            </w:r>
            <w:r>
              <w:rPr>
                <w:rFonts w:ascii="Times New Roman" w:hAnsi="Times New Roman" w:cs="Times New Roman"/>
                <w:b/>
                <w:color w:val="000000"/>
                <w:kern w:val="0"/>
                <w:szCs w:val="21"/>
              </w:rPr>
              <w:t>Yu Wang</w:t>
            </w:r>
            <w:r>
              <w:rPr>
                <w:rFonts w:ascii="Times New Roman" w:hAnsi="Times New Roman" w:cs="Times New Roman"/>
                <w:color w:val="000000"/>
                <w:kern w:val="0"/>
                <w:szCs w:val="21"/>
              </w:rPr>
              <w:t xml:space="preserve">, Jian-Hui Hu, </w:t>
            </w:r>
            <w:r>
              <w:rPr>
                <w:rFonts w:ascii="Times New Roman" w:hAnsi="Times New Roman" w:cs="Times New Roman"/>
                <w:b/>
                <w:color w:val="000000"/>
                <w:kern w:val="0"/>
                <w:szCs w:val="21"/>
              </w:rPr>
              <w:t>Zhao-Tang Ding</w:t>
            </w:r>
            <w:r>
              <w:rPr>
                <w:rFonts w:ascii="Times New Roman" w:hAnsi="Times New Roman" w:cs="Times New Roman"/>
                <w:b/>
                <w:color w:val="000066"/>
                <w:kern w:val="0"/>
                <w:szCs w:val="21"/>
              </w:rPr>
              <w:t>*</w:t>
            </w:r>
            <w:r>
              <w:rPr>
                <w:rFonts w:ascii="Times New Roman" w:hAnsi="Times New Roman" w:cs="Times New Roman"/>
                <w:color w:val="000000"/>
                <w:kern w:val="0"/>
                <w:szCs w:val="21"/>
              </w:rPr>
              <w:t>, Chen Li，</w:t>
            </w:r>
          </w:p>
        </w:tc>
        <w:tc>
          <w:tcPr>
            <w:tcW w:w="1265" w:type="dxa"/>
            <w:vAlign w:val="center"/>
          </w:tcPr>
          <w:p>
            <w:pPr>
              <w:jc w:val="center"/>
              <w:rPr>
                <w:rFonts w:ascii="Times New Roman" w:hAnsi="Times New Roman" w:cs="Times New Roman"/>
                <w:szCs w:val="21"/>
              </w:rPr>
            </w:pPr>
            <w:r>
              <w:rPr>
                <w:rFonts w:ascii="Times New Roman" w:hAnsi="Times New Roman" w:cs="Times New Roman"/>
                <w:szCs w:val="21"/>
              </w:rPr>
              <w:t>论文</w:t>
            </w:r>
          </w:p>
        </w:tc>
      </w:tr>
      <w:tr>
        <w:trPr>
          <w:trHeight w:val="765" w:hRule="atLeast"/>
          <w:jc w:val="center"/>
        </w:trPr>
        <w:tc>
          <w:tcPr>
            <w:tcW w:w="479" w:type="dxa"/>
            <w:vAlign w:val="center"/>
          </w:tcPr>
          <w:p>
            <w:pPr>
              <w:jc w:val="center"/>
              <w:rPr>
                <w:rFonts w:ascii="Times New Roman" w:hAnsi="Times New Roman" w:cs="Times New Roman"/>
                <w:szCs w:val="21"/>
              </w:rPr>
            </w:pPr>
            <w:r>
              <w:rPr>
                <w:rFonts w:ascii="Times New Roman" w:hAnsi="Times New Roman" w:cs="Times New Roman"/>
                <w:szCs w:val="21"/>
              </w:rPr>
              <w:t>4</w:t>
            </w:r>
          </w:p>
        </w:tc>
        <w:tc>
          <w:tcPr>
            <w:tcW w:w="4853" w:type="dxa"/>
            <w:vAlign w:val="center"/>
          </w:tcPr>
          <w:p>
            <w:pPr>
              <w:spacing w:line="200" w:lineRule="atLeast"/>
              <w:rPr>
                <w:rFonts w:ascii="Times New Roman" w:hAnsi="Times New Roman" w:cs="Times New Roman"/>
                <w:szCs w:val="21"/>
              </w:rPr>
            </w:pPr>
            <w:r>
              <w:rPr>
                <w:rFonts w:ascii="Times New Roman" w:hAnsi="Times New Roman" w:cs="Times New Roman"/>
                <w:szCs w:val="21"/>
              </w:rPr>
              <w:t xml:space="preserve">Isolation and expression of CsFAD7 and CsFAD8, two genes encoding ω-3 fatty acid desaturase from </w:t>
            </w:r>
            <w:r>
              <w:rPr>
                <w:rFonts w:ascii="Times New Roman" w:hAnsi="Times New Roman" w:cs="Times New Roman"/>
                <w:i/>
                <w:szCs w:val="21"/>
              </w:rPr>
              <w:t>Camellia sinensis</w:t>
            </w:r>
          </w:p>
        </w:tc>
        <w:tc>
          <w:tcPr>
            <w:tcW w:w="2977" w:type="dxa"/>
            <w:vAlign w:val="center"/>
          </w:tcPr>
          <w:p>
            <w:pPr>
              <w:spacing w:line="200" w:lineRule="atLeast"/>
              <w:rPr>
                <w:rFonts w:ascii="Times New Roman" w:hAnsi="Times New Roman" w:cs="Times New Roman"/>
                <w:i/>
                <w:kern w:val="0"/>
                <w:szCs w:val="21"/>
              </w:rPr>
            </w:pPr>
            <w:r>
              <w:rPr>
                <w:rFonts w:ascii="Times New Roman" w:hAnsi="Times New Roman" w:cs="Times New Roman"/>
                <w:i/>
                <w:kern w:val="0"/>
                <w:szCs w:val="21"/>
              </w:rPr>
              <w:t>Acta Physiologiae Plantarum</w:t>
            </w:r>
          </w:p>
          <w:p>
            <w:pPr>
              <w:jc w:val="center"/>
              <w:rPr>
                <w:rFonts w:ascii="Times New Roman" w:hAnsi="Times New Roman" w:cs="Times New Roman"/>
                <w:szCs w:val="21"/>
              </w:rPr>
            </w:pPr>
            <w:r>
              <w:rPr>
                <w:rFonts w:ascii="Times New Roman" w:hAnsi="Times New Roman" w:cs="Times New Roman"/>
                <w:szCs w:val="21"/>
              </w:rPr>
              <w:t>(SCI：IF=1.584)</w:t>
            </w:r>
          </w:p>
        </w:tc>
        <w:tc>
          <w:tcPr>
            <w:tcW w:w="1482" w:type="dxa"/>
            <w:vAlign w:val="center"/>
          </w:tcPr>
          <w:p>
            <w:pPr>
              <w:spacing w:line="200" w:lineRule="atLeast"/>
              <w:rPr>
                <w:rFonts w:ascii="Times New Roman" w:hAnsi="Times New Roman" w:cs="Times New Roman"/>
                <w:szCs w:val="21"/>
              </w:rPr>
            </w:pPr>
            <w:r>
              <w:rPr>
                <w:rFonts w:ascii="Times New Roman" w:hAnsi="Times New Roman" w:cs="Times New Roman"/>
                <w:szCs w:val="21"/>
              </w:rPr>
              <w:t>2014.09</w:t>
            </w:r>
          </w:p>
          <w:p>
            <w:pPr>
              <w:jc w:val="center"/>
              <w:rPr>
                <w:rFonts w:ascii="Times New Roman" w:hAnsi="Times New Roman" w:cs="Times New Roman"/>
                <w:szCs w:val="21"/>
              </w:rPr>
            </w:pPr>
          </w:p>
        </w:tc>
        <w:tc>
          <w:tcPr>
            <w:tcW w:w="3403" w:type="dxa"/>
            <w:vAlign w:val="center"/>
          </w:tcPr>
          <w:p>
            <w:pPr>
              <w:jc w:val="center"/>
              <w:rPr>
                <w:rFonts w:ascii="Times New Roman" w:hAnsi="Times New Roman" w:cs="Times New Roman"/>
                <w:szCs w:val="21"/>
              </w:rPr>
            </w:pPr>
            <w:r>
              <w:rPr>
                <w:rFonts w:ascii="Times New Roman" w:hAnsi="Times New Roman" w:cs="Times New Roman"/>
                <w:szCs w:val="21"/>
              </w:rPr>
              <w:t xml:space="preserve">Qing-Ping Ma, En You, Jing Wang, </w:t>
            </w:r>
            <w:r>
              <w:rPr>
                <w:rFonts w:ascii="Times New Roman" w:hAnsi="Times New Roman" w:cs="Times New Roman"/>
                <w:b/>
                <w:szCs w:val="21"/>
              </w:rPr>
              <w:t>Yu Wang</w:t>
            </w:r>
            <w:r>
              <w:rPr>
                <w:rFonts w:ascii="Times New Roman" w:hAnsi="Times New Roman" w:cs="Times New Roman"/>
                <w:szCs w:val="21"/>
              </w:rPr>
              <w:t xml:space="preserve">, </w:t>
            </w:r>
            <w:r>
              <w:rPr>
                <w:rFonts w:ascii="Times New Roman" w:hAnsi="Times New Roman" w:cs="Times New Roman"/>
                <w:b/>
                <w:szCs w:val="21"/>
              </w:rPr>
              <w:t>Zhao-Tang Ding</w:t>
            </w:r>
          </w:p>
        </w:tc>
        <w:tc>
          <w:tcPr>
            <w:tcW w:w="1265" w:type="dxa"/>
            <w:vAlign w:val="center"/>
          </w:tcPr>
          <w:p>
            <w:pPr>
              <w:jc w:val="center"/>
              <w:rPr>
                <w:rFonts w:ascii="Times New Roman" w:hAnsi="Times New Roman" w:cs="Times New Roman"/>
                <w:szCs w:val="21"/>
              </w:rPr>
            </w:pPr>
            <w:r>
              <w:rPr>
                <w:rFonts w:ascii="Times New Roman" w:hAnsi="Times New Roman" w:cs="Times New Roman"/>
                <w:szCs w:val="21"/>
              </w:rPr>
              <w:t>论文</w:t>
            </w:r>
          </w:p>
        </w:tc>
      </w:tr>
      <w:tr>
        <w:trPr>
          <w:trHeight w:val="765" w:hRule="atLeast"/>
          <w:jc w:val="center"/>
        </w:trPr>
        <w:tc>
          <w:tcPr>
            <w:tcW w:w="479" w:type="dxa"/>
            <w:vAlign w:val="center"/>
          </w:tcPr>
          <w:p>
            <w:pPr>
              <w:jc w:val="center"/>
              <w:rPr>
                <w:rFonts w:ascii="Times New Roman" w:hAnsi="Times New Roman" w:cs="Times New Roman"/>
                <w:szCs w:val="21"/>
              </w:rPr>
            </w:pPr>
            <w:r>
              <w:rPr>
                <w:rFonts w:ascii="Times New Roman" w:hAnsi="Times New Roman" w:cs="Times New Roman"/>
                <w:szCs w:val="21"/>
              </w:rPr>
              <w:t>5</w:t>
            </w:r>
          </w:p>
        </w:tc>
        <w:tc>
          <w:tcPr>
            <w:tcW w:w="4853" w:type="dxa"/>
            <w:vAlign w:val="center"/>
          </w:tcPr>
          <w:p>
            <w:pPr>
              <w:rPr>
                <w:rFonts w:ascii="Times New Roman" w:hAnsi="Times New Roman" w:cs="Times New Roman"/>
                <w:szCs w:val="21"/>
              </w:rPr>
            </w:pPr>
            <w:r>
              <w:rPr>
                <w:rFonts w:ascii="Times New Roman" w:hAnsi="Times New Roman" w:cs="Times New Roman"/>
                <w:szCs w:val="21"/>
              </w:rPr>
              <w:t>Metabolite profiling of tea (Camellia sinensis L.) leaves in winter.</w:t>
            </w:r>
          </w:p>
        </w:tc>
        <w:tc>
          <w:tcPr>
            <w:tcW w:w="2977" w:type="dxa"/>
            <w:vAlign w:val="center"/>
          </w:tcPr>
          <w:p>
            <w:pPr>
              <w:spacing w:line="200" w:lineRule="atLeast"/>
              <w:rPr>
                <w:rFonts w:ascii="Times New Roman" w:hAnsi="Times New Roman" w:cs="Times New Roman"/>
                <w:i/>
                <w:kern w:val="0"/>
                <w:szCs w:val="21"/>
              </w:rPr>
            </w:pPr>
            <w:r>
              <w:rPr>
                <w:rFonts w:ascii="Times New Roman" w:hAnsi="Times New Roman" w:cs="Times New Roman"/>
                <w:i/>
                <w:kern w:val="0"/>
                <w:szCs w:val="21"/>
              </w:rPr>
              <w:t>Scientia Horticulturae</w:t>
            </w:r>
          </w:p>
          <w:p>
            <w:pPr>
              <w:jc w:val="center"/>
              <w:rPr>
                <w:rFonts w:ascii="Times New Roman" w:hAnsi="Times New Roman" w:cs="Times New Roman"/>
                <w:szCs w:val="21"/>
              </w:rPr>
            </w:pPr>
            <w:r>
              <w:rPr>
                <w:rFonts w:ascii="Times New Roman" w:hAnsi="Times New Roman" w:cs="Times New Roman"/>
                <w:szCs w:val="21"/>
              </w:rPr>
              <w:t>(SCI：IF=1.365)</w:t>
            </w:r>
          </w:p>
        </w:tc>
        <w:tc>
          <w:tcPr>
            <w:tcW w:w="1482" w:type="dxa"/>
            <w:vAlign w:val="center"/>
          </w:tcPr>
          <w:p>
            <w:pPr>
              <w:spacing w:line="200" w:lineRule="atLeast"/>
              <w:rPr>
                <w:rFonts w:ascii="Times New Roman" w:hAnsi="Times New Roman" w:cs="Times New Roman"/>
                <w:szCs w:val="21"/>
              </w:rPr>
            </w:pPr>
            <w:r>
              <w:rPr>
                <w:rFonts w:ascii="Times New Roman" w:hAnsi="Times New Roman" w:cs="Times New Roman"/>
                <w:szCs w:val="21"/>
              </w:rPr>
              <w:t>2015.08</w:t>
            </w:r>
          </w:p>
          <w:p>
            <w:pPr>
              <w:jc w:val="center"/>
              <w:rPr>
                <w:rFonts w:ascii="Times New Roman" w:hAnsi="Times New Roman" w:cs="Times New Roman"/>
                <w:szCs w:val="21"/>
              </w:rPr>
            </w:pPr>
          </w:p>
        </w:tc>
        <w:tc>
          <w:tcPr>
            <w:tcW w:w="3403" w:type="dxa"/>
            <w:vAlign w:val="center"/>
          </w:tcPr>
          <w:p>
            <w:pPr>
              <w:jc w:val="center"/>
              <w:rPr>
                <w:rFonts w:ascii="Times New Roman" w:hAnsi="Times New Roman" w:cs="Times New Roman"/>
                <w:szCs w:val="21"/>
              </w:rPr>
            </w:pPr>
            <w:r>
              <w:rPr>
                <w:rFonts w:ascii="Times New Roman" w:hAnsi="Times New Roman" w:cs="Times New Roman"/>
                <w:bCs/>
                <w:szCs w:val="21"/>
              </w:rPr>
              <w:t xml:space="preserve">Jiazhi Shen, </w:t>
            </w:r>
            <w:r>
              <w:rPr>
                <w:rFonts w:ascii="Times New Roman" w:hAnsi="Times New Roman" w:cs="Times New Roman"/>
                <w:b/>
                <w:bCs/>
                <w:szCs w:val="21"/>
              </w:rPr>
              <w:t>Yu Wang</w:t>
            </w:r>
            <w:r>
              <w:rPr>
                <w:rFonts w:ascii="Times New Roman" w:hAnsi="Times New Roman" w:cs="Times New Roman"/>
                <w:bCs/>
                <w:szCs w:val="21"/>
              </w:rPr>
              <w:t xml:space="preserve">, Changsong Chen, </w:t>
            </w:r>
            <w:r>
              <w:rPr>
                <w:rFonts w:ascii="Times New Roman" w:hAnsi="Times New Roman" w:cs="Times New Roman"/>
                <w:b/>
                <w:bCs/>
                <w:szCs w:val="21"/>
              </w:rPr>
              <w:t>Zhaotang Ding</w:t>
            </w:r>
            <w:r>
              <w:rPr>
                <w:rFonts w:ascii="Times New Roman" w:hAnsi="Times New Roman" w:cs="Times New Roman"/>
                <w:bCs/>
                <w:szCs w:val="21"/>
              </w:rPr>
              <w:t>*, Jianhui Hu，Chao Zheng, Yuchen Li</w:t>
            </w:r>
          </w:p>
        </w:tc>
        <w:tc>
          <w:tcPr>
            <w:tcW w:w="1265" w:type="dxa"/>
            <w:vAlign w:val="center"/>
          </w:tcPr>
          <w:p>
            <w:pPr>
              <w:jc w:val="center"/>
              <w:rPr>
                <w:rFonts w:ascii="Times New Roman" w:hAnsi="Times New Roman" w:cs="Times New Roman"/>
                <w:szCs w:val="21"/>
              </w:rPr>
            </w:pPr>
            <w:r>
              <w:rPr>
                <w:rFonts w:ascii="Times New Roman" w:hAnsi="Times New Roman" w:cs="Times New Roman"/>
                <w:szCs w:val="21"/>
              </w:rPr>
              <w:t>论文</w:t>
            </w:r>
          </w:p>
        </w:tc>
      </w:tr>
      <w:tr>
        <w:trPr>
          <w:trHeight w:val="765" w:hRule="atLeast"/>
          <w:jc w:val="center"/>
        </w:trPr>
        <w:tc>
          <w:tcPr>
            <w:tcW w:w="479" w:type="dxa"/>
            <w:vAlign w:val="center"/>
          </w:tcPr>
          <w:p>
            <w:pPr>
              <w:jc w:val="center"/>
              <w:rPr>
                <w:rFonts w:ascii="Times New Roman" w:hAnsi="Times New Roman" w:cs="Times New Roman"/>
                <w:szCs w:val="21"/>
              </w:rPr>
            </w:pPr>
            <w:r>
              <w:rPr>
                <w:rFonts w:ascii="Times New Roman" w:hAnsi="Times New Roman" w:cs="Times New Roman"/>
                <w:szCs w:val="21"/>
              </w:rPr>
              <w:t>6</w:t>
            </w:r>
          </w:p>
        </w:tc>
        <w:tc>
          <w:tcPr>
            <w:tcW w:w="4853" w:type="dxa"/>
            <w:vAlign w:val="center"/>
          </w:tcPr>
          <w:p>
            <w:pPr>
              <w:spacing w:line="200" w:lineRule="atLeast"/>
              <w:rPr>
                <w:rFonts w:ascii="Times New Roman" w:hAnsi="Times New Roman" w:cs="Times New Roman"/>
                <w:szCs w:val="21"/>
              </w:rPr>
            </w:pPr>
            <w:r>
              <w:rPr>
                <w:rFonts w:ascii="Times New Roman" w:hAnsi="Times New Roman" w:cs="Times New Roman"/>
                <w:szCs w:val="21"/>
              </w:rPr>
              <w:t xml:space="preserve">Codon Bias of the Gene for Chloroplast Glycerol-3-Phosphate Acyltransferase in </w:t>
            </w:r>
            <w:r>
              <w:rPr>
                <w:rFonts w:ascii="Times New Roman" w:hAnsi="Times New Roman" w:cs="Times New Roman"/>
                <w:i/>
                <w:szCs w:val="21"/>
              </w:rPr>
              <w:t xml:space="preserve">Camellia sinensis </w:t>
            </w:r>
            <w:r>
              <w:rPr>
                <w:rFonts w:ascii="Times New Roman" w:hAnsi="Times New Roman" w:cs="Times New Roman"/>
                <w:szCs w:val="21"/>
              </w:rPr>
              <w:t>(L.)O. Kuntze</w:t>
            </w:r>
          </w:p>
        </w:tc>
        <w:tc>
          <w:tcPr>
            <w:tcW w:w="2977" w:type="dxa"/>
            <w:vAlign w:val="center"/>
          </w:tcPr>
          <w:p>
            <w:pPr>
              <w:spacing w:line="200" w:lineRule="atLeast"/>
              <w:rPr>
                <w:rFonts w:ascii="Times New Roman" w:hAnsi="Times New Roman" w:cs="Times New Roman"/>
                <w:i/>
                <w:kern w:val="0"/>
                <w:szCs w:val="21"/>
              </w:rPr>
            </w:pPr>
            <w:r>
              <w:rPr>
                <w:rFonts w:ascii="Times New Roman" w:hAnsi="Times New Roman" w:cs="Times New Roman"/>
                <w:i/>
                <w:kern w:val="0"/>
                <w:szCs w:val="21"/>
              </w:rPr>
              <w:t>Biochemical Systematics and Ecology</w:t>
            </w:r>
          </w:p>
          <w:p>
            <w:pPr>
              <w:spacing w:line="200" w:lineRule="atLeast"/>
              <w:jc w:val="center"/>
              <w:rPr>
                <w:rFonts w:ascii="Times New Roman" w:hAnsi="Times New Roman" w:cs="Times New Roman"/>
                <w:szCs w:val="21"/>
              </w:rPr>
            </w:pPr>
            <w:r>
              <w:rPr>
                <w:rFonts w:ascii="Times New Roman" w:hAnsi="Times New Roman" w:cs="Times New Roman"/>
                <w:szCs w:val="21"/>
              </w:rPr>
              <w:t>(SCI：IF=0.967)</w:t>
            </w:r>
          </w:p>
        </w:tc>
        <w:tc>
          <w:tcPr>
            <w:tcW w:w="1482" w:type="dxa"/>
            <w:vAlign w:val="center"/>
          </w:tcPr>
          <w:p>
            <w:pPr>
              <w:spacing w:line="200" w:lineRule="atLeast"/>
              <w:rPr>
                <w:rFonts w:ascii="Times New Roman" w:hAnsi="Times New Roman" w:cs="Times New Roman"/>
                <w:szCs w:val="21"/>
              </w:rPr>
            </w:pPr>
            <w:r>
              <w:rPr>
                <w:rFonts w:ascii="Times New Roman" w:hAnsi="Times New Roman" w:cs="Times New Roman"/>
                <w:szCs w:val="21"/>
              </w:rPr>
              <w:t>2014.08</w:t>
            </w:r>
          </w:p>
          <w:p>
            <w:pPr>
              <w:jc w:val="center"/>
              <w:rPr>
                <w:rFonts w:ascii="Times New Roman" w:hAnsi="Times New Roman" w:cs="Times New Roman"/>
                <w:szCs w:val="21"/>
              </w:rPr>
            </w:pPr>
          </w:p>
        </w:tc>
        <w:tc>
          <w:tcPr>
            <w:tcW w:w="3403" w:type="dxa"/>
            <w:vAlign w:val="center"/>
          </w:tcPr>
          <w:p>
            <w:pPr>
              <w:jc w:val="center"/>
              <w:rPr>
                <w:rFonts w:ascii="Times New Roman" w:hAnsi="Times New Roman" w:cs="Times New Roman"/>
                <w:szCs w:val="21"/>
              </w:rPr>
            </w:pPr>
            <w:r>
              <w:rPr>
                <w:rFonts w:ascii="Times New Roman" w:hAnsi="Times New Roman" w:cs="Times New Roman"/>
                <w:szCs w:val="21"/>
              </w:rPr>
              <w:t>Chen Li，Lu-lu Pan，</w:t>
            </w:r>
            <w:r>
              <w:rPr>
                <w:rFonts w:ascii="Times New Roman" w:hAnsi="Times New Roman" w:cs="Times New Roman"/>
                <w:b/>
                <w:szCs w:val="21"/>
              </w:rPr>
              <w:t>Yu Wang</w:t>
            </w:r>
            <w:r>
              <w:rPr>
                <w:rFonts w:ascii="Times New Roman" w:hAnsi="Times New Roman" w:cs="Times New Roman"/>
                <w:szCs w:val="21"/>
              </w:rPr>
              <w:t>，Jing Wang，</w:t>
            </w:r>
            <w:r>
              <w:rPr>
                <w:rFonts w:ascii="Times New Roman" w:hAnsi="Times New Roman" w:cs="Times New Roman"/>
                <w:b/>
                <w:szCs w:val="21"/>
              </w:rPr>
              <w:t>Zhao-tang Ding</w:t>
            </w:r>
            <w:r>
              <w:rPr>
                <w:rFonts w:ascii="Times New Roman" w:hAnsi="Times New Roman" w:cs="Times New Roman"/>
                <w:szCs w:val="21"/>
              </w:rPr>
              <w:t>*</w:t>
            </w:r>
          </w:p>
        </w:tc>
        <w:tc>
          <w:tcPr>
            <w:tcW w:w="1265" w:type="dxa"/>
            <w:vAlign w:val="center"/>
          </w:tcPr>
          <w:p>
            <w:pPr>
              <w:jc w:val="center"/>
              <w:rPr>
                <w:rFonts w:ascii="Times New Roman" w:hAnsi="Times New Roman" w:cs="Times New Roman"/>
                <w:szCs w:val="21"/>
              </w:rPr>
            </w:pPr>
            <w:r>
              <w:rPr>
                <w:rFonts w:ascii="Times New Roman" w:hAnsi="Times New Roman" w:cs="Times New Roman"/>
                <w:szCs w:val="21"/>
              </w:rPr>
              <w:t>论文</w:t>
            </w:r>
          </w:p>
        </w:tc>
      </w:tr>
      <w:tr>
        <w:trPr>
          <w:trHeight w:val="765" w:hRule="atLeast"/>
          <w:jc w:val="center"/>
        </w:trPr>
        <w:tc>
          <w:tcPr>
            <w:tcW w:w="479" w:type="dxa"/>
            <w:vAlign w:val="center"/>
          </w:tcPr>
          <w:p>
            <w:pPr>
              <w:jc w:val="center"/>
              <w:rPr>
                <w:rFonts w:ascii="Times New Roman" w:hAnsi="Times New Roman" w:cs="Times New Roman"/>
                <w:szCs w:val="21"/>
              </w:rPr>
            </w:pPr>
            <w:r>
              <w:rPr>
                <w:rFonts w:ascii="Times New Roman" w:hAnsi="Times New Roman" w:cs="Times New Roman"/>
                <w:szCs w:val="21"/>
              </w:rPr>
              <w:t>7</w:t>
            </w:r>
          </w:p>
        </w:tc>
        <w:tc>
          <w:tcPr>
            <w:tcW w:w="4853" w:type="dxa"/>
            <w:vAlign w:val="center"/>
          </w:tcPr>
          <w:p>
            <w:pPr>
              <w:spacing w:line="200" w:lineRule="atLeast"/>
              <w:rPr>
                <w:rFonts w:ascii="Times New Roman" w:hAnsi="Times New Roman" w:cs="Times New Roman"/>
                <w:szCs w:val="21"/>
              </w:rPr>
            </w:pPr>
            <w:bookmarkStart w:id="4" w:name="OLE_LINK16"/>
            <w:bookmarkStart w:id="5" w:name="OLE_LINK38"/>
            <w:bookmarkStart w:id="6" w:name="OLE_LINK24"/>
            <w:bookmarkStart w:id="7" w:name="OLE_LINK49"/>
            <w:bookmarkStart w:id="8" w:name="OLE_LINK181"/>
            <w:bookmarkStart w:id="9" w:name="OLE_LINK182"/>
            <w:bookmarkStart w:id="10" w:name="OLE_LINK52"/>
            <w:r>
              <w:rPr>
                <w:rFonts w:ascii="Times New Roman" w:hAnsi="Times New Roman" w:cs="Times New Roman"/>
                <w:bCs/>
                <w:szCs w:val="21"/>
              </w:rPr>
              <w:t>The differences between two tea varieties in their response to natural cold conditions</w:t>
            </w:r>
            <w:r>
              <w:rPr>
                <w:rFonts w:ascii="Times New Roman" w:hAnsi="Times New Roman" w:cs="Times New Roman"/>
                <w:szCs w:val="21"/>
              </w:rPr>
              <w:t xml:space="preserve"> </w:t>
            </w:r>
            <w:bookmarkEnd w:id="4"/>
            <w:bookmarkEnd w:id="5"/>
            <w:bookmarkEnd w:id="6"/>
            <w:bookmarkEnd w:id="7"/>
            <w:bookmarkEnd w:id="8"/>
            <w:bookmarkEnd w:id="9"/>
            <w:bookmarkEnd w:id="10"/>
          </w:p>
        </w:tc>
        <w:tc>
          <w:tcPr>
            <w:tcW w:w="2977" w:type="dxa"/>
            <w:vAlign w:val="center"/>
          </w:tcPr>
          <w:p>
            <w:pPr>
              <w:spacing w:line="200" w:lineRule="atLeast"/>
              <w:rPr>
                <w:rFonts w:ascii="Times New Roman" w:hAnsi="Times New Roman" w:cs="Times New Roman"/>
                <w:szCs w:val="21"/>
              </w:rPr>
            </w:pPr>
            <w:r>
              <w:rPr>
                <w:rFonts w:ascii="Times New Roman" w:hAnsi="Times New Roman" w:cs="Times New Roman"/>
                <w:bCs/>
                <w:szCs w:val="21"/>
              </w:rPr>
              <w:t>The Journal of Horticultural Science and Biotechnology</w:t>
            </w:r>
            <w:r>
              <w:rPr>
                <w:rFonts w:ascii="Times New Roman" w:hAnsi="Times New Roman" w:cs="Times New Roman"/>
                <w:szCs w:val="21"/>
              </w:rPr>
              <w:t xml:space="preserve"> (SCI：IF=0.541)</w:t>
            </w:r>
          </w:p>
        </w:tc>
        <w:tc>
          <w:tcPr>
            <w:tcW w:w="1482" w:type="dxa"/>
            <w:vAlign w:val="center"/>
          </w:tcPr>
          <w:p>
            <w:pPr>
              <w:spacing w:line="200" w:lineRule="atLeast"/>
              <w:rPr>
                <w:rFonts w:ascii="Times New Roman" w:hAnsi="Times New Roman" w:cs="Times New Roman"/>
                <w:szCs w:val="21"/>
              </w:rPr>
            </w:pPr>
            <w:r>
              <w:rPr>
                <w:rFonts w:ascii="Times New Roman" w:hAnsi="Times New Roman" w:cs="Times New Roman"/>
                <w:szCs w:val="21"/>
              </w:rPr>
              <w:t>2016.05</w:t>
            </w:r>
          </w:p>
          <w:p>
            <w:pPr>
              <w:spacing w:line="200" w:lineRule="atLeast"/>
              <w:rPr>
                <w:rFonts w:ascii="Times New Roman" w:hAnsi="Times New Roman" w:cs="Times New Roman"/>
                <w:szCs w:val="21"/>
              </w:rPr>
            </w:pPr>
          </w:p>
        </w:tc>
        <w:tc>
          <w:tcPr>
            <w:tcW w:w="3403" w:type="dxa"/>
            <w:vAlign w:val="center"/>
          </w:tcPr>
          <w:p>
            <w:pPr>
              <w:jc w:val="center"/>
              <w:rPr>
                <w:rFonts w:ascii="Times New Roman" w:hAnsi="Times New Roman" w:cs="Times New Roman"/>
                <w:szCs w:val="21"/>
              </w:rPr>
            </w:pPr>
            <w:r>
              <w:rPr>
                <w:rFonts w:ascii="Times New Roman" w:hAnsi="Times New Roman" w:cs="Times New Roman"/>
                <w:b/>
                <w:bCs/>
                <w:szCs w:val="21"/>
              </w:rPr>
              <w:t>Zhao-Tang Ding</w:t>
            </w:r>
            <w:r>
              <w:rPr>
                <w:rFonts w:ascii="Times New Roman" w:hAnsi="Times New Roman" w:cs="Times New Roman"/>
                <w:bCs/>
                <w:szCs w:val="21"/>
              </w:rPr>
              <w:t xml:space="preserve">, Qing-Ping Ma &amp; </w:t>
            </w:r>
            <w:r>
              <w:rPr>
                <w:rFonts w:ascii="Times New Roman" w:hAnsi="Times New Roman" w:cs="Times New Roman"/>
                <w:b/>
                <w:bCs/>
                <w:szCs w:val="21"/>
              </w:rPr>
              <w:t>Yu Wang*</w:t>
            </w:r>
          </w:p>
        </w:tc>
        <w:tc>
          <w:tcPr>
            <w:tcW w:w="1265" w:type="dxa"/>
            <w:vAlign w:val="center"/>
          </w:tcPr>
          <w:p>
            <w:pPr>
              <w:jc w:val="center"/>
              <w:rPr>
                <w:rFonts w:ascii="Times New Roman" w:hAnsi="Times New Roman" w:cs="Times New Roman"/>
                <w:szCs w:val="21"/>
              </w:rPr>
            </w:pPr>
            <w:r>
              <w:rPr>
                <w:rFonts w:ascii="Times New Roman" w:hAnsi="Times New Roman" w:cs="Times New Roman"/>
                <w:szCs w:val="21"/>
              </w:rPr>
              <w:t>论文</w:t>
            </w:r>
          </w:p>
        </w:tc>
      </w:tr>
      <w:tr>
        <w:trPr>
          <w:trHeight w:val="765" w:hRule="atLeast"/>
          <w:jc w:val="center"/>
        </w:trPr>
        <w:tc>
          <w:tcPr>
            <w:tcW w:w="479" w:type="dxa"/>
            <w:vAlign w:val="center"/>
          </w:tcPr>
          <w:p>
            <w:pPr>
              <w:jc w:val="center"/>
              <w:rPr>
                <w:rFonts w:ascii="Times New Roman" w:hAnsi="Times New Roman" w:cs="Times New Roman"/>
                <w:szCs w:val="21"/>
              </w:rPr>
            </w:pPr>
            <w:r>
              <w:rPr>
                <w:rFonts w:ascii="Times New Roman" w:hAnsi="Times New Roman" w:cs="Times New Roman"/>
                <w:szCs w:val="21"/>
              </w:rPr>
              <w:t>8</w:t>
            </w:r>
          </w:p>
        </w:tc>
        <w:tc>
          <w:tcPr>
            <w:tcW w:w="4853" w:type="dxa"/>
            <w:vAlign w:val="center"/>
          </w:tcPr>
          <w:p>
            <w:pPr>
              <w:spacing w:line="200" w:lineRule="atLeast"/>
              <w:rPr>
                <w:rFonts w:ascii="Times New Roman" w:hAnsi="Times New Roman" w:cs="Times New Roman"/>
                <w:szCs w:val="21"/>
              </w:rPr>
            </w:pPr>
            <w:r>
              <w:rPr>
                <w:rFonts w:ascii="Times New Roman" w:hAnsi="Times New Roman" w:cs="Times New Roman"/>
                <w:szCs w:val="21"/>
              </w:rPr>
              <w:t>Pattern of CsICE1 expression under cold or drought treatment and functional verification through analysis of transgenic Arabidopsis</w:t>
            </w:r>
          </w:p>
        </w:tc>
        <w:tc>
          <w:tcPr>
            <w:tcW w:w="2977" w:type="dxa"/>
            <w:vAlign w:val="center"/>
          </w:tcPr>
          <w:p>
            <w:pPr>
              <w:spacing w:line="200" w:lineRule="atLeast"/>
              <w:rPr>
                <w:rFonts w:ascii="Times New Roman" w:hAnsi="Times New Roman" w:cs="Times New Roman"/>
                <w:i/>
                <w:szCs w:val="21"/>
              </w:rPr>
            </w:pPr>
            <w:r>
              <w:rPr>
                <w:rFonts w:ascii="Times New Roman" w:hAnsi="Times New Roman" w:cs="Times New Roman"/>
                <w:i/>
                <w:szCs w:val="21"/>
              </w:rPr>
              <w:t>Genetics and Molecular Research</w:t>
            </w:r>
          </w:p>
          <w:p>
            <w:pPr>
              <w:jc w:val="center"/>
              <w:rPr>
                <w:rFonts w:ascii="Times New Roman" w:hAnsi="Times New Roman" w:cs="Times New Roman"/>
                <w:szCs w:val="21"/>
              </w:rPr>
            </w:pPr>
            <w:r>
              <w:rPr>
                <w:rFonts w:ascii="Times New Roman" w:hAnsi="Times New Roman" w:cs="Times New Roman"/>
                <w:szCs w:val="21"/>
              </w:rPr>
              <w:t>(SCI：IF=0.775)</w:t>
            </w:r>
          </w:p>
        </w:tc>
        <w:tc>
          <w:tcPr>
            <w:tcW w:w="1482" w:type="dxa"/>
            <w:vAlign w:val="center"/>
          </w:tcPr>
          <w:p>
            <w:pPr>
              <w:spacing w:line="200" w:lineRule="atLeast"/>
              <w:rPr>
                <w:rFonts w:ascii="Times New Roman" w:hAnsi="Times New Roman" w:cs="Times New Roman"/>
                <w:szCs w:val="21"/>
              </w:rPr>
            </w:pPr>
            <w:r>
              <w:rPr>
                <w:rFonts w:ascii="Times New Roman" w:hAnsi="Times New Roman" w:cs="Times New Roman"/>
                <w:szCs w:val="21"/>
              </w:rPr>
              <w:t>2015.09</w:t>
            </w:r>
          </w:p>
          <w:p>
            <w:pPr>
              <w:jc w:val="center"/>
              <w:rPr>
                <w:rFonts w:ascii="Times New Roman" w:hAnsi="Times New Roman" w:cs="Times New Roman"/>
                <w:szCs w:val="21"/>
              </w:rPr>
            </w:pPr>
          </w:p>
        </w:tc>
        <w:tc>
          <w:tcPr>
            <w:tcW w:w="3403" w:type="dxa"/>
            <w:vAlign w:val="center"/>
          </w:tcPr>
          <w:p>
            <w:pPr>
              <w:jc w:val="center"/>
              <w:rPr>
                <w:rFonts w:ascii="Times New Roman" w:hAnsi="Times New Roman" w:cs="Times New Roman"/>
                <w:szCs w:val="21"/>
              </w:rPr>
            </w:pPr>
            <w:r>
              <w:rPr>
                <w:rFonts w:ascii="Times New Roman" w:hAnsi="Times New Roman" w:cs="Times New Roman"/>
                <w:b/>
                <w:bCs/>
                <w:szCs w:val="21"/>
              </w:rPr>
              <w:t>Z.T. Ding,</w:t>
            </w:r>
            <w:r>
              <w:rPr>
                <w:rFonts w:ascii="Times New Roman" w:hAnsi="Times New Roman" w:cs="Times New Roman"/>
                <w:bCs/>
                <w:szCs w:val="21"/>
              </w:rPr>
              <w:t xml:space="preserve"> C. Li, H. Shi, H. Wang， </w:t>
            </w:r>
            <w:r>
              <w:rPr>
                <w:rFonts w:ascii="Times New Roman" w:hAnsi="Times New Roman" w:cs="Times New Roman"/>
                <w:b/>
                <w:bCs/>
                <w:szCs w:val="21"/>
              </w:rPr>
              <w:t>Y. Wang*</w:t>
            </w:r>
          </w:p>
        </w:tc>
        <w:tc>
          <w:tcPr>
            <w:tcW w:w="1265" w:type="dxa"/>
            <w:vAlign w:val="center"/>
          </w:tcPr>
          <w:p>
            <w:pPr>
              <w:jc w:val="center"/>
              <w:rPr>
                <w:rFonts w:ascii="Times New Roman" w:hAnsi="Times New Roman" w:cs="Times New Roman"/>
                <w:szCs w:val="21"/>
              </w:rPr>
            </w:pPr>
            <w:r>
              <w:rPr>
                <w:rFonts w:ascii="Times New Roman" w:hAnsi="Times New Roman" w:cs="Times New Roman"/>
                <w:szCs w:val="21"/>
              </w:rPr>
              <w:t>论文</w:t>
            </w:r>
          </w:p>
        </w:tc>
      </w:tr>
      <w:tr>
        <w:trPr>
          <w:trHeight w:val="765" w:hRule="atLeast"/>
          <w:jc w:val="center"/>
        </w:trPr>
        <w:tc>
          <w:tcPr>
            <w:tcW w:w="479" w:type="dxa"/>
            <w:vAlign w:val="center"/>
          </w:tcPr>
          <w:p>
            <w:pPr>
              <w:jc w:val="center"/>
              <w:rPr>
                <w:rFonts w:ascii="Times New Roman" w:hAnsi="Times New Roman" w:cs="Times New Roman"/>
                <w:szCs w:val="21"/>
              </w:rPr>
            </w:pPr>
            <w:r>
              <w:rPr>
                <w:rFonts w:ascii="Times New Roman" w:hAnsi="Times New Roman" w:cs="Times New Roman"/>
                <w:szCs w:val="21"/>
              </w:rPr>
              <w:t>9</w:t>
            </w:r>
          </w:p>
        </w:tc>
        <w:tc>
          <w:tcPr>
            <w:tcW w:w="4853" w:type="dxa"/>
            <w:vAlign w:val="center"/>
          </w:tcPr>
          <w:p>
            <w:pPr>
              <w:spacing w:line="200" w:lineRule="atLeast"/>
              <w:rPr>
                <w:rFonts w:ascii="Times New Roman" w:hAnsi="Times New Roman" w:cs="Times New Roman"/>
                <w:szCs w:val="21"/>
              </w:rPr>
            </w:pPr>
            <w:r>
              <w:rPr>
                <w:rFonts w:ascii="Times New Roman" w:hAnsi="Times New Roman" w:cs="Times New Roman"/>
                <w:szCs w:val="21"/>
              </w:rPr>
              <w:t xml:space="preserve">Codon usage bias analysis for the spermidine synthase gene from </w:t>
            </w:r>
            <w:r>
              <w:rPr>
                <w:rFonts w:ascii="Times New Roman" w:hAnsi="Times New Roman" w:cs="Times New Roman"/>
                <w:i/>
                <w:szCs w:val="21"/>
              </w:rPr>
              <w:t>Camellia sinensis</w:t>
            </w:r>
            <w:r>
              <w:rPr>
                <w:rFonts w:ascii="Times New Roman" w:hAnsi="Times New Roman" w:cs="Times New Roman"/>
                <w:szCs w:val="21"/>
              </w:rPr>
              <w:t xml:space="preserve"> (L.) O. Kuntze</w:t>
            </w:r>
          </w:p>
          <w:p>
            <w:pPr>
              <w:rPr>
                <w:rFonts w:ascii="Times New Roman" w:hAnsi="Times New Roman" w:cs="Times New Roman"/>
                <w:szCs w:val="21"/>
              </w:rPr>
            </w:pPr>
          </w:p>
        </w:tc>
        <w:tc>
          <w:tcPr>
            <w:tcW w:w="2977" w:type="dxa"/>
            <w:vAlign w:val="center"/>
          </w:tcPr>
          <w:p>
            <w:pPr>
              <w:spacing w:line="200" w:lineRule="atLeast"/>
              <w:rPr>
                <w:rFonts w:ascii="Times New Roman" w:hAnsi="Times New Roman" w:cs="Times New Roman"/>
                <w:i/>
                <w:szCs w:val="21"/>
              </w:rPr>
            </w:pPr>
            <w:r>
              <w:rPr>
                <w:rFonts w:ascii="Times New Roman" w:hAnsi="Times New Roman" w:cs="Times New Roman"/>
                <w:i/>
                <w:szCs w:val="21"/>
              </w:rPr>
              <w:t>Genetics and Molecular Research</w:t>
            </w:r>
          </w:p>
          <w:p>
            <w:pPr>
              <w:jc w:val="center"/>
              <w:rPr>
                <w:rFonts w:ascii="Times New Roman" w:hAnsi="Times New Roman" w:cs="Times New Roman"/>
                <w:szCs w:val="21"/>
              </w:rPr>
            </w:pPr>
            <w:r>
              <w:rPr>
                <w:rFonts w:ascii="Times New Roman" w:hAnsi="Times New Roman" w:cs="Times New Roman"/>
                <w:szCs w:val="21"/>
              </w:rPr>
              <w:t>(SCI：IF=0.775)</w:t>
            </w:r>
          </w:p>
        </w:tc>
        <w:tc>
          <w:tcPr>
            <w:tcW w:w="1482" w:type="dxa"/>
            <w:vAlign w:val="center"/>
          </w:tcPr>
          <w:p>
            <w:pPr>
              <w:spacing w:line="200" w:lineRule="atLeast"/>
              <w:rPr>
                <w:rFonts w:ascii="Times New Roman" w:hAnsi="Times New Roman" w:cs="Times New Roman"/>
                <w:szCs w:val="21"/>
              </w:rPr>
            </w:pPr>
            <w:r>
              <w:rPr>
                <w:rFonts w:ascii="Times New Roman" w:hAnsi="Times New Roman" w:cs="Times New Roman"/>
                <w:szCs w:val="21"/>
              </w:rPr>
              <w:t>2015.07</w:t>
            </w:r>
          </w:p>
          <w:p>
            <w:pPr>
              <w:jc w:val="center"/>
              <w:rPr>
                <w:rFonts w:ascii="Times New Roman" w:hAnsi="Times New Roman" w:cs="Times New Roman"/>
                <w:szCs w:val="21"/>
              </w:rPr>
            </w:pPr>
          </w:p>
        </w:tc>
        <w:tc>
          <w:tcPr>
            <w:tcW w:w="3403" w:type="dxa"/>
            <w:vAlign w:val="center"/>
          </w:tcPr>
          <w:p>
            <w:pPr>
              <w:jc w:val="center"/>
              <w:rPr>
                <w:rFonts w:ascii="Times New Roman" w:hAnsi="Times New Roman" w:cs="Times New Roman"/>
                <w:szCs w:val="21"/>
              </w:rPr>
            </w:pPr>
            <w:r>
              <w:rPr>
                <w:rFonts w:ascii="Times New Roman" w:hAnsi="Times New Roman" w:cs="Times New Roman"/>
                <w:szCs w:val="21"/>
              </w:rPr>
              <w:t xml:space="preserve">En YOU, </w:t>
            </w:r>
            <w:r>
              <w:rPr>
                <w:rFonts w:ascii="Times New Roman" w:hAnsi="Times New Roman" w:cs="Times New Roman"/>
                <w:b/>
                <w:szCs w:val="21"/>
              </w:rPr>
              <w:t>Yu WANG</w:t>
            </w:r>
            <w:r>
              <w:rPr>
                <w:rFonts w:ascii="Times New Roman" w:hAnsi="Times New Roman" w:cs="Times New Roman"/>
                <w:szCs w:val="21"/>
              </w:rPr>
              <w:t xml:space="preserve">, </w:t>
            </w:r>
            <w:r>
              <w:rPr>
                <w:rFonts w:ascii="Times New Roman" w:hAnsi="Times New Roman" w:cs="Times New Roman"/>
                <w:b/>
                <w:szCs w:val="21"/>
              </w:rPr>
              <w:t>Zhao-Tang DING*</w:t>
            </w:r>
            <w:r>
              <w:rPr>
                <w:rFonts w:ascii="Times New Roman" w:hAnsi="Times New Roman" w:cs="Times New Roman"/>
                <w:szCs w:val="21"/>
              </w:rPr>
              <w:t>, XinFu ZHANG, LuLu PAN and Chao ZHENG,</w:t>
            </w:r>
          </w:p>
        </w:tc>
        <w:tc>
          <w:tcPr>
            <w:tcW w:w="1265" w:type="dxa"/>
            <w:vAlign w:val="center"/>
          </w:tcPr>
          <w:p>
            <w:pPr>
              <w:jc w:val="center"/>
              <w:rPr>
                <w:rFonts w:ascii="Times New Roman" w:hAnsi="Times New Roman" w:cs="Times New Roman"/>
                <w:szCs w:val="21"/>
              </w:rPr>
            </w:pPr>
            <w:r>
              <w:rPr>
                <w:rFonts w:ascii="Times New Roman" w:hAnsi="Times New Roman" w:cs="Times New Roman"/>
                <w:szCs w:val="21"/>
              </w:rPr>
              <w:t>论文</w:t>
            </w:r>
          </w:p>
        </w:tc>
      </w:tr>
      <w:tr>
        <w:trPr>
          <w:trHeight w:val="427" w:hRule="atLeast"/>
          <w:jc w:val="center"/>
        </w:trPr>
        <w:tc>
          <w:tcPr>
            <w:tcW w:w="479" w:type="dxa"/>
            <w:vAlign w:val="center"/>
          </w:tcPr>
          <w:p>
            <w:pPr>
              <w:jc w:val="center"/>
              <w:rPr>
                <w:rFonts w:ascii="Times New Roman" w:hAnsi="Times New Roman" w:cs="Times New Roman"/>
                <w:szCs w:val="21"/>
              </w:rPr>
            </w:pPr>
            <w:r>
              <w:rPr>
                <w:rFonts w:ascii="Times New Roman" w:hAnsi="Times New Roman" w:cs="Times New Roman"/>
                <w:szCs w:val="21"/>
              </w:rPr>
              <w:t>10</w:t>
            </w:r>
          </w:p>
        </w:tc>
        <w:tc>
          <w:tcPr>
            <w:tcW w:w="4853" w:type="dxa"/>
            <w:vAlign w:val="center"/>
          </w:tcPr>
          <w:p>
            <w:pPr>
              <w:rPr>
                <w:rFonts w:ascii="Times New Roman" w:hAnsi="Times New Roman" w:cs="Times New Roman"/>
                <w:szCs w:val="21"/>
              </w:rPr>
            </w:pPr>
            <w:r>
              <w:rPr>
                <w:rFonts w:ascii="Times New Roman" w:hAnsi="Times New Roman" w:cs="Times New Roman"/>
                <w:szCs w:val="21"/>
              </w:rPr>
              <w:t>Analysis of synonymous codon usage in FAD7 genes from different plant species</w:t>
            </w:r>
          </w:p>
        </w:tc>
        <w:tc>
          <w:tcPr>
            <w:tcW w:w="2977" w:type="dxa"/>
            <w:vAlign w:val="center"/>
          </w:tcPr>
          <w:p>
            <w:pPr>
              <w:jc w:val="center"/>
              <w:rPr>
                <w:rFonts w:ascii="Times New Roman" w:hAnsi="Times New Roman" w:cs="Times New Roman"/>
                <w:i/>
                <w:szCs w:val="21"/>
              </w:rPr>
            </w:pPr>
            <w:r>
              <w:rPr>
                <w:rFonts w:ascii="Times New Roman" w:hAnsi="Times New Roman" w:cs="Times New Roman"/>
                <w:i/>
                <w:szCs w:val="21"/>
              </w:rPr>
              <w:t>Genetics and Molecular Research</w:t>
            </w:r>
          </w:p>
          <w:p>
            <w:pPr>
              <w:jc w:val="center"/>
              <w:rPr>
                <w:rFonts w:ascii="Times New Roman" w:hAnsi="Times New Roman" w:cs="Times New Roman"/>
                <w:szCs w:val="21"/>
              </w:rPr>
            </w:pPr>
            <w:r>
              <w:rPr>
                <w:rFonts w:ascii="Times New Roman" w:hAnsi="Times New Roman" w:cs="Times New Roman"/>
                <w:szCs w:val="21"/>
              </w:rPr>
              <w:t>(SCI：IF=0.775)</w:t>
            </w:r>
          </w:p>
        </w:tc>
        <w:tc>
          <w:tcPr>
            <w:tcW w:w="1482" w:type="dxa"/>
            <w:vAlign w:val="center"/>
          </w:tcPr>
          <w:p>
            <w:pPr>
              <w:jc w:val="center"/>
              <w:rPr>
                <w:rFonts w:ascii="Times New Roman" w:hAnsi="Times New Roman" w:cs="Times New Roman"/>
                <w:szCs w:val="21"/>
              </w:rPr>
            </w:pPr>
            <w:r>
              <w:rPr>
                <w:rFonts w:ascii="Times New Roman" w:hAnsi="Times New Roman" w:cs="Times New Roman"/>
                <w:szCs w:val="21"/>
              </w:rPr>
              <w:t>2015.02</w:t>
            </w:r>
          </w:p>
        </w:tc>
        <w:tc>
          <w:tcPr>
            <w:tcW w:w="3403" w:type="dxa"/>
            <w:vAlign w:val="center"/>
          </w:tcPr>
          <w:p>
            <w:pPr>
              <w:jc w:val="center"/>
              <w:rPr>
                <w:rFonts w:ascii="Times New Roman" w:hAnsi="Times New Roman" w:cs="Times New Roman"/>
                <w:szCs w:val="21"/>
              </w:rPr>
            </w:pPr>
            <w:r>
              <w:rPr>
                <w:rFonts w:ascii="Times New Roman" w:hAnsi="Times New Roman" w:cs="Times New Roman"/>
                <w:szCs w:val="21"/>
              </w:rPr>
              <w:t xml:space="preserve">Qing-ping Ma, Chen Li, Jing Wang, </w:t>
            </w:r>
            <w:r>
              <w:rPr>
                <w:rFonts w:ascii="Times New Roman" w:hAnsi="Times New Roman" w:cs="Times New Roman"/>
                <w:b/>
                <w:szCs w:val="21"/>
              </w:rPr>
              <w:t>Yu Wang</w:t>
            </w:r>
            <w:r>
              <w:rPr>
                <w:rFonts w:ascii="Times New Roman" w:hAnsi="Times New Roman" w:cs="Times New Roman"/>
                <w:szCs w:val="21"/>
              </w:rPr>
              <w:t xml:space="preserve">, </w:t>
            </w:r>
            <w:r>
              <w:rPr>
                <w:rFonts w:ascii="Times New Roman" w:hAnsi="Times New Roman" w:cs="Times New Roman"/>
                <w:b/>
                <w:szCs w:val="21"/>
              </w:rPr>
              <w:t>Zhao-tang Ding*</w:t>
            </w:r>
          </w:p>
        </w:tc>
        <w:tc>
          <w:tcPr>
            <w:tcW w:w="1265" w:type="dxa"/>
            <w:vAlign w:val="center"/>
          </w:tcPr>
          <w:p>
            <w:pPr>
              <w:jc w:val="center"/>
              <w:rPr>
                <w:rFonts w:ascii="Times New Roman" w:hAnsi="Times New Roman" w:cs="Times New Roman"/>
                <w:szCs w:val="21"/>
              </w:rPr>
            </w:pPr>
            <w:r>
              <w:rPr>
                <w:rFonts w:ascii="Times New Roman" w:hAnsi="Times New Roman" w:cs="Times New Roman"/>
                <w:szCs w:val="21"/>
              </w:rPr>
              <w:t>论文</w:t>
            </w:r>
          </w:p>
        </w:tc>
      </w:tr>
    </w:tbl>
    <w:p>
      <w:pPr>
        <w:rPr>
          <w:rFonts w:ascii="Times New Roman" w:hAnsi="Times New Roman" w:cs="Times New Roman"/>
          <w:bCs/>
          <w:szCs w:val="21"/>
        </w:rPr>
      </w:pPr>
      <w:r>
        <w:rPr>
          <w:rFonts w:ascii="Times New Roman" w:hAnsi="Times New Roman" w:cs="Times New Roman"/>
          <w:bCs/>
          <w:szCs w:val="21"/>
        </w:rPr>
        <w:t>（注：不超过10篇）</w:t>
      </w:r>
    </w:p>
    <w:p/>
    <w:p/>
    <w:p/>
    <w:p/>
    <w:p/>
    <w:p>
      <w:pPr>
        <w:widowControl/>
        <w:jc w:val="left"/>
      </w:pPr>
      <w:r>
        <w:br w:type="page"/>
      </w:r>
    </w:p>
    <w:p>
      <w:pPr>
        <w:sectPr>
          <w:pgSz w:w="16838" w:h="11906" w:orient="landscape"/>
          <w:pgMar w:top="1797" w:right="1440" w:bottom="1797" w:left="1440" w:header="851" w:footer="992" w:gutter="0"/>
          <w:cols w:space="425" w:num="1"/>
          <w:docGrid w:type="linesAndChars" w:linePitch="312"/>
        </w:sectPr>
      </w:pPr>
    </w:p>
    <w:p/>
    <w:p/>
    <w:p>
      <w:pPr>
        <w:rPr>
          <w:rFonts w:ascii="黑体" w:eastAsia="黑体"/>
          <w:sz w:val="28"/>
          <w:szCs w:val="28"/>
        </w:rPr>
      </w:pPr>
      <w:r>
        <w:rPr>
          <w:rFonts w:hint="eastAsia" w:ascii="黑体" w:eastAsia="黑体"/>
          <w:sz w:val="28"/>
          <w:szCs w:val="28"/>
        </w:rPr>
        <w:t>七、主要完成人情况</w:t>
      </w:r>
    </w:p>
    <w:p>
      <w:pPr>
        <w:spacing w:line="360" w:lineRule="auto"/>
        <w:rPr>
          <w:rFonts w:ascii="宋体" w:hAnsi="宋体"/>
          <w:kern w:val="0"/>
          <w:szCs w:val="21"/>
        </w:rPr>
      </w:pPr>
      <w:r>
        <w:rPr>
          <w:rFonts w:hint="eastAsia" w:ascii="宋体" w:hAnsi="宋体"/>
          <w:kern w:val="0"/>
          <w:szCs w:val="21"/>
        </w:rPr>
        <w:t>丁兆堂，青岛农业大学</w:t>
      </w:r>
    </w:p>
    <w:p>
      <w:pPr>
        <w:spacing w:line="360" w:lineRule="auto"/>
        <w:rPr>
          <w:rFonts w:ascii="宋体" w:hAnsi="宋体"/>
          <w:kern w:val="0"/>
          <w:szCs w:val="21"/>
        </w:rPr>
      </w:pPr>
      <w:r>
        <w:rPr>
          <w:rFonts w:hint="eastAsia" w:ascii="宋体" w:hAnsi="宋体"/>
          <w:kern w:val="0"/>
          <w:szCs w:val="21"/>
        </w:rPr>
        <w:t>王  玉，青岛农业大学</w:t>
      </w:r>
    </w:p>
    <w:p>
      <w:pPr>
        <w:spacing w:line="360" w:lineRule="auto"/>
        <w:rPr>
          <w:rFonts w:ascii="宋体" w:hAnsi="宋体"/>
          <w:kern w:val="0"/>
          <w:szCs w:val="21"/>
        </w:rPr>
      </w:pPr>
      <w:r>
        <w:rPr>
          <w:rFonts w:hint="eastAsia" w:ascii="宋体" w:hAnsi="宋体"/>
          <w:kern w:val="0"/>
          <w:szCs w:val="21"/>
        </w:rPr>
        <w:t>李玉胜，山东省果茶技术推广站</w:t>
      </w:r>
    </w:p>
    <w:p>
      <w:pPr>
        <w:spacing w:line="360" w:lineRule="auto"/>
        <w:rPr>
          <w:rFonts w:ascii="宋体" w:hAnsi="宋体"/>
          <w:kern w:val="0"/>
          <w:szCs w:val="21"/>
        </w:rPr>
      </w:pPr>
      <w:r>
        <w:rPr>
          <w:rFonts w:hint="eastAsia" w:ascii="宋体" w:hAnsi="宋体"/>
          <w:kern w:val="0"/>
          <w:szCs w:val="21"/>
        </w:rPr>
        <w:t>孙海伟，泰安市泰山林业科学研究院</w:t>
      </w:r>
    </w:p>
    <w:p>
      <w:pPr>
        <w:spacing w:line="360" w:lineRule="auto"/>
        <w:rPr>
          <w:rFonts w:ascii="宋体" w:hAnsi="宋体"/>
          <w:kern w:val="0"/>
          <w:szCs w:val="21"/>
        </w:rPr>
      </w:pPr>
      <w:r>
        <w:rPr>
          <w:rFonts w:hint="eastAsia" w:ascii="宋体" w:hAnsi="宋体"/>
          <w:kern w:val="0"/>
          <w:szCs w:val="21"/>
        </w:rPr>
        <w:t>丁德恩，日照市茶叶技术推广中心</w:t>
      </w:r>
    </w:p>
    <w:p>
      <w:pPr>
        <w:spacing w:line="360" w:lineRule="auto"/>
        <w:rPr>
          <w:rFonts w:ascii="宋体" w:hAnsi="宋体"/>
          <w:kern w:val="0"/>
          <w:szCs w:val="21"/>
        </w:rPr>
      </w:pPr>
      <w:r>
        <w:rPr>
          <w:rFonts w:hint="eastAsia" w:ascii="宋体" w:hAnsi="宋体"/>
          <w:kern w:val="0"/>
          <w:szCs w:val="21"/>
        </w:rPr>
        <w:t>马德新，青岛农业大学</w:t>
      </w:r>
    </w:p>
    <w:p>
      <w:pPr>
        <w:spacing w:line="360" w:lineRule="auto"/>
        <w:rPr>
          <w:rFonts w:ascii="宋体" w:hAnsi="宋体"/>
          <w:kern w:val="0"/>
          <w:szCs w:val="21"/>
        </w:rPr>
      </w:pPr>
      <w:r>
        <w:rPr>
          <w:rFonts w:hint="eastAsia" w:ascii="宋体" w:hAnsi="宋体"/>
          <w:kern w:val="0"/>
          <w:szCs w:val="21"/>
        </w:rPr>
        <w:t>王  漪，青岛市果茶技术指导站</w:t>
      </w:r>
    </w:p>
    <w:p>
      <w:pPr>
        <w:spacing w:line="360" w:lineRule="auto"/>
        <w:rPr>
          <w:rFonts w:ascii="宋体" w:hAnsi="宋体"/>
          <w:kern w:val="0"/>
          <w:szCs w:val="21"/>
        </w:rPr>
      </w:pPr>
      <w:r>
        <w:rPr>
          <w:rFonts w:hint="eastAsia" w:ascii="宋体" w:hAnsi="宋体"/>
          <w:kern w:val="0"/>
          <w:szCs w:val="21"/>
        </w:rPr>
        <w:t>毕彩虹，临沂市果茶技术推广服务中心</w:t>
      </w:r>
    </w:p>
    <w:p>
      <w:pPr>
        <w:spacing w:line="360" w:lineRule="auto"/>
        <w:rPr>
          <w:rFonts w:ascii="宋体" w:hAnsi="宋体"/>
          <w:kern w:val="0"/>
          <w:szCs w:val="21"/>
        </w:rPr>
      </w:pPr>
      <w:r>
        <w:rPr>
          <w:rFonts w:hint="eastAsia" w:ascii="宋体" w:hAnsi="宋体"/>
          <w:kern w:val="0"/>
          <w:szCs w:val="21"/>
        </w:rPr>
        <w:t>王林军，威海市果树茶叶工作站</w:t>
      </w:r>
    </w:p>
    <w:p>
      <w:pPr>
        <w:spacing w:line="360" w:lineRule="auto"/>
        <w:rPr>
          <w:rFonts w:ascii="宋体" w:hAnsi="宋体"/>
          <w:kern w:val="0"/>
          <w:szCs w:val="21"/>
        </w:rPr>
      </w:pPr>
      <w:r>
        <w:rPr>
          <w:rFonts w:hint="eastAsia" w:ascii="宋体" w:hAnsi="宋体"/>
          <w:kern w:val="0"/>
          <w:szCs w:val="21"/>
        </w:rPr>
        <w:t>范  凯，青岛农业大学</w:t>
      </w:r>
    </w:p>
    <w:p>
      <w:pPr>
        <w:spacing w:line="360" w:lineRule="auto"/>
        <w:rPr>
          <w:rFonts w:ascii="宋体" w:hAnsi="宋体"/>
          <w:kern w:val="0"/>
          <w:szCs w:val="21"/>
        </w:rPr>
      </w:pPr>
      <w:r>
        <w:rPr>
          <w:rFonts w:hint="eastAsia" w:ascii="宋体" w:hAnsi="宋体"/>
          <w:kern w:val="0"/>
          <w:szCs w:val="21"/>
        </w:rPr>
        <w:t>周  波，泰安市农业广播学校</w:t>
      </w:r>
    </w:p>
    <w:p>
      <w:pPr>
        <w:spacing w:line="360" w:lineRule="auto"/>
      </w:pPr>
      <w:r>
        <w:rPr>
          <w:rFonts w:hint="eastAsia"/>
        </w:rPr>
        <w:t>郑  超，青岛农业大学</w:t>
      </w:r>
    </w:p>
    <w:p>
      <w:pPr>
        <w:spacing w:line="360" w:lineRule="auto"/>
      </w:pPr>
      <w:r>
        <w:rPr>
          <w:rFonts w:hint="eastAsia"/>
        </w:rPr>
        <w:t>申加枝，青岛农业大学</w:t>
      </w:r>
    </w:p>
    <w:p>
      <w:pPr>
        <w:spacing w:line="360" w:lineRule="auto"/>
      </w:pPr>
      <w:r>
        <w:rPr>
          <w:rFonts w:hint="eastAsia"/>
        </w:rPr>
        <w:t>马青平，青岛农业大学</w:t>
      </w:r>
    </w:p>
    <w:p>
      <w:pPr>
        <w:spacing w:line="360" w:lineRule="auto"/>
      </w:pPr>
    </w:p>
    <w:p>
      <w:pPr>
        <w:rPr>
          <w:rFonts w:ascii="黑体" w:eastAsia="黑体"/>
          <w:sz w:val="28"/>
          <w:szCs w:val="28"/>
        </w:rPr>
      </w:pPr>
      <w:r>
        <w:rPr>
          <w:rFonts w:hint="eastAsia" w:ascii="黑体" w:eastAsia="黑体"/>
          <w:sz w:val="28"/>
          <w:szCs w:val="28"/>
        </w:rPr>
        <w:t>八、主要完成单位及创新推广贡献</w:t>
      </w:r>
    </w:p>
    <w:p>
      <w:pPr>
        <w:snapToGrid w:val="0"/>
        <w:ind w:firstLine="480"/>
        <w:rPr>
          <w:rFonts w:ascii="宋体" w:hAnsi="宋体"/>
          <w:szCs w:val="21"/>
        </w:rPr>
      </w:pPr>
    </w:p>
    <w:p>
      <w:pPr>
        <w:snapToGrid w:val="0"/>
        <w:spacing w:line="360" w:lineRule="auto"/>
        <w:ind w:firstLine="480" w:firstLineChars="200"/>
        <w:rPr>
          <w:rFonts w:ascii="黑体" w:hAnsi="宋体" w:eastAsia="黑体"/>
          <w:sz w:val="24"/>
          <w:szCs w:val="24"/>
        </w:rPr>
      </w:pPr>
      <w:r>
        <w:rPr>
          <w:rFonts w:hint="eastAsia" w:ascii="黑体" w:hAnsi="宋体" w:eastAsia="黑体"/>
          <w:sz w:val="24"/>
          <w:szCs w:val="24"/>
        </w:rPr>
        <w:t>1、青岛农业大学</w:t>
      </w:r>
    </w:p>
    <w:p>
      <w:pPr>
        <w:snapToGrid w:val="0"/>
        <w:spacing w:line="360" w:lineRule="auto"/>
        <w:ind w:firstLine="420" w:firstLineChars="200"/>
        <w:rPr>
          <w:rFonts w:ascii="宋体" w:hAnsi="宋体"/>
          <w:color w:val="000000"/>
          <w:kern w:val="0"/>
          <w:szCs w:val="21"/>
        </w:rPr>
      </w:pPr>
      <w:r>
        <w:rPr>
          <w:rFonts w:hint="eastAsia" w:ascii="宋体" w:hAnsi="宋体"/>
          <w:szCs w:val="21"/>
        </w:rPr>
        <w:t>主持完成了4个项目的研究及推广。</w:t>
      </w:r>
      <w:r>
        <w:rPr>
          <w:rFonts w:hint="eastAsia" w:ascii="宋体" w:hAnsi="宋体"/>
          <w:color w:val="000000"/>
          <w:kern w:val="0"/>
          <w:szCs w:val="21"/>
        </w:rPr>
        <w:t>获得授权发明专利5项，实用新型专利2项，计算机软件著作权5项；制定了省级地方标准与企业技术规范2部；出版英文专著1部，在国内外核心期刊发表论文36篇，其中SCI收录12篇，完成硕士学位论文15部。</w:t>
      </w:r>
    </w:p>
    <w:p>
      <w:pPr>
        <w:spacing w:line="360" w:lineRule="auto"/>
        <w:ind w:firstLine="420" w:firstLineChars="200"/>
      </w:pPr>
      <w:r>
        <w:rPr>
          <w:rFonts w:hint="eastAsia" w:ascii="宋体" w:hAnsi="宋体" w:cs="华文楷体"/>
          <w:color w:val="000000"/>
          <w:kern w:val="0"/>
          <w:szCs w:val="21"/>
        </w:rPr>
        <w:t>揭示了茶树抗寒分子机理，明确了茶树抗寒调控途径。创立了茶树抗寒种质资源鉴定评价方法，获得了大量抗寒性茶树种质资源。通过系统选择选育抗寒茶树品种瑞雪、香雪、寒梅等3个，引进筛选抗寒品种5个，获得抗寒育种资源36份，</w:t>
      </w:r>
      <w:r>
        <w:rPr>
          <w:rFonts w:hint="eastAsia" w:ascii="宋体" w:hAnsi="宋体"/>
          <w:color w:val="000000"/>
          <w:kern w:val="0"/>
          <w:szCs w:val="21"/>
        </w:rPr>
        <w:t>在</w:t>
      </w:r>
      <w:r>
        <w:rPr>
          <w:rFonts w:hint="eastAsia" w:ascii="宋体" w:hAnsi="宋体"/>
          <w:color w:val="000000"/>
          <w:szCs w:val="21"/>
        </w:rPr>
        <w:t>茶树种质资源苗期抗寒性及芽叶适制性的鉴定方面做出了重要贡献。基于茶树抗寒生物学基础研究，建立了以改善生态环境、促进碳水化合物积累、降低消耗为主的</w:t>
      </w:r>
      <w:r>
        <w:rPr>
          <w:rFonts w:hint="eastAsia" w:ascii="宋体" w:hAnsi="宋体" w:cs="华文楷体"/>
          <w:color w:val="000000"/>
          <w:kern w:val="0"/>
          <w:szCs w:val="21"/>
        </w:rPr>
        <w:t>“选、养、保”</w:t>
      </w:r>
      <w:r>
        <w:rPr>
          <w:rFonts w:hint="eastAsia" w:ascii="宋体" w:hAnsi="宋体"/>
          <w:color w:val="000000"/>
          <w:szCs w:val="21"/>
        </w:rPr>
        <w:t>抗寒防护技术体系，</w:t>
      </w:r>
      <w:r>
        <w:rPr>
          <w:rFonts w:hint="eastAsia" w:ascii="宋体" w:hAnsi="宋体"/>
          <w:color w:val="000000"/>
          <w:kern w:val="0"/>
          <w:szCs w:val="21"/>
        </w:rPr>
        <w:t>攻克了北方茶树安全越冬重大技术难题，推动了北方茶叶的可持续发展，提升了山东省茶产业的市场竞争力。2006-2015年项目技术在在日照、临沂、泰安、青岛、威海、烟台等地建立试验示范基地10处，累计8年推广面积140余万亩。</w:t>
      </w:r>
    </w:p>
    <w:p>
      <w:pPr>
        <w:spacing w:line="360" w:lineRule="auto"/>
        <w:ind w:firstLine="480" w:firstLineChars="200"/>
        <w:rPr>
          <w:rFonts w:ascii="黑体" w:eastAsia="黑体"/>
          <w:sz w:val="24"/>
          <w:szCs w:val="24"/>
        </w:rPr>
      </w:pPr>
      <w:r>
        <w:rPr>
          <w:rFonts w:hint="eastAsia" w:ascii="黑体" w:eastAsia="黑体"/>
          <w:sz w:val="24"/>
          <w:szCs w:val="24"/>
        </w:rPr>
        <w:t>2、山东省果茶技术推广站</w:t>
      </w:r>
    </w:p>
    <w:p>
      <w:pPr>
        <w:snapToGrid w:val="0"/>
        <w:spacing w:line="360" w:lineRule="auto"/>
        <w:ind w:firstLine="420" w:firstLineChars="200"/>
        <w:rPr>
          <w:rFonts w:ascii="宋体" w:hAnsi="宋体"/>
          <w:szCs w:val="21"/>
        </w:rPr>
      </w:pPr>
      <w:r>
        <w:rPr>
          <w:rFonts w:hint="eastAsia" w:ascii="宋体" w:hAnsi="宋体"/>
          <w:szCs w:val="21"/>
        </w:rPr>
        <w:t>制定了《山东省茶叶产业发展规划》（2014-2020）、《山东省茶叶产业提质增效转型升级实施方案》，将项目研究内容之一加强茶树抗寒研究、选育抗寒品种等列入发展重点和主要任务，为项目的开展争取了政策支持。</w:t>
      </w:r>
    </w:p>
    <w:p>
      <w:pPr>
        <w:snapToGrid w:val="0"/>
        <w:spacing w:line="360" w:lineRule="auto"/>
        <w:ind w:firstLine="420" w:firstLineChars="200"/>
        <w:rPr>
          <w:rFonts w:ascii="宋体" w:hAnsi="宋体"/>
          <w:szCs w:val="21"/>
        </w:rPr>
      </w:pPr>
      <w:r>
        <w:rPr>
          <w:rFonts w:hint="eastAsia" w:ascii="宋体" w:hAnsi="宋体"/>
          <w:szCs w:val="21"/>
        </w:rPr>
        <w:t>组织开展了茶树抵御低温、抗寒越冬配套技术研究，进行茶树抗寒新技术熟化与集成。组织相关科研院所专业技术人员深入产区，调研茶树冻害情况，分析产生原因，有针对性地提出了可行的预防措施，牵头制定了《茶园越冬防护技术规程》、《茶树修剪技术规程》、《新建茶园技术规程》等3项山东省地方标准，为推广该技术、降低冻害损失提供了技术参考依据。</w:t>
      </w:r>
    </w:p>
    <w:p>
      <w:pPr>
        <w:snapToGrid w:val="0"/>
        <w:spacing w:line="360" w:lineRule="auto"/>
        <w:ind w:firstLine="420" w:firstLineChars="200"/>
        <w:rPr>
          <w:rFonts w:ascii="宋体" w:hAnsi="宋体"/>
          <w:szCs w:val="21"/>
        </w:rPr>
      </w:pPr>
      <w:r>
        <w:rPr>
          <w:rFonts w:hint="eastAsia" w:ascii="宋体" w:hAnsi="宋体"/>
          <w:szCs w:val="21"/>
        </w:rPr>
        <w:t>大力开展茶树抗寒越冬其配套栽培技术推广。争取上级支持，将该技术列入每年的全省主推技术和省财政支持农业技术推广项目，累计筹集资金815万元，在日照、临沂、烟台、威海、济南、泰安等市的35个县区、34个单位建设省级越冬防护示范园186个，面积49349亩，辐射带动周边189188亩茶园推广该技术，累计增加茶农收入1.9亿元。</w:t>
      </w:r>
    </w:p>
    <w:p>
      <w:pPr>
        <w:snapToGrid w:val="0"/>
        <w:spacing w:line="360" w:lineRule="auto"/>
        <w:ind w:firstLine="420" w:firstLineChars="200"/>
        <w:rPr>
          <w:rFonts w:ascii="宋体" w:hAnsi="宋体"/>
          <w:szCs w:val="21"/>
        </w:rPr>
      </w:pPr>
      <w:r>
        <w:rPr>
          <w:rFonts w:hint="eastAsia" w:ascii="宋体" w:hAnsi="宋体"/>
          <w:szCs w:val="21"/>
        </w:rPr>
        <w:t>积极开展技术咨询、培训等。与项目组一起经常深入茶区进行调研取数和技术指导，做好相关数据整理等工作；每年举办一期全省性茶树越冬技术培训，累计培训骨干茶叶专业技术人员430多人次，印发培训资料1300多份，极大推动了该技术的普及。</w:t>
      </w:r>
    </w:p>
    <w:p>
      <w:pPr>
        <w:snapToGrid w:val="0"/>
        <w:spacing w:line="360" w:lineRule="auto"/>
        <w:ind w:firstLine="420" w:firstLineChars="200"/>
      </w:pPr>
      <w:r>
        <w:rPr>
          <w:rFonts w:hint="eastAsia" w:ascii="宋体" w:hAnsi="宋体"/>
          <w:szCs w:val="21"/>
        </w:rPr>
        <w:t>做好全省各茶区茶树冻害情况动态监控，与项目组专家一起总结发生规律和预防措施等，指导各地采取补救措施。</w:t>
      </w:r>
    </w:p>
    <w:p>
      <w:pPr>
        <w:spacing w:line="360" w:lineRule="auto"/>
        <w:ind w:firstLine="420" w:firstLineChars="200"/>
      </w:pPr>
    </w:p>
    <w:p/>
    <w:p>
      <w:pPr>
        <w:rPr>
          <w:rFonts w:ascii="黑体" w:eastAsia="黑体"/>
          <w:sz w:val="28"/>
          <w:szCs w:val="28"/>
        </w:rPr>
      </w:pPr>
      <w:r>
        <w:rPr>
          <w:rFonts w:hint="eastAsia" w:ascii="黑体" w:eastAsia="黑体"/>
          <w:sz w:val="28"/>
          <w:szCs w:val="28"/>
        </w:rPr>
        <w:t>九、完成人合作关系说明。</w:t>
      </w:r>
    </w:p>
    <w:p>
      <w:pPr>
        <w:pStyle w:val="6"/>
        <w:ind w:firstLine="0" w:firstLineChars="0"/>
        <w:jc w:val="center"/>
        <w:rPr>
          <w:rFonts w:ascii="宋体" w:hAnsi="宋体"/>
          <w:b/>
          <w:sz w:val="28"/>
        </w:rPr>
      </w:pPr>
    </w:p>
    <w:tbl>
      <w:tblPr>
        <w:tblW w:w="9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675"/>
        <w:gridCol w:w="1418"/>
        <w:gridCol w:w="1276"/>
        <w:gridCol w:w="1417"/>
        <w:gridCol w:w="2552"/>
        <w:gridCol w:w="1275"/>
        <w:gridCol w:w="567"/>
      </w:tblGrid>
      <w:tr>
        <w:tc>
          <w:tcPr>
            <w:tcW w:w="675" w:type="dxa"/>
            <w:vAlign w:val="center"/>
          </w:tcPr>
          <w:p>
            <w:pPr>
              <w:spacing w:beforeLines="50" w:afterLines="50"/>
              <w:jc w:val="center"/>
              <w:rPr>
                <w:szCs w:val="21"/>
              </w:rPr>
            </w:pPr>
            <w:r>
              <w:rPr>
                <w:rFonts w:hint="eastAsia"/>
                <w:szCs w:val="21"/>
              </w:rPr>
              <w:t>序号</w:t>
            </w:r>
          </w:p>
        </w:tc>
        <w:tc>
          <w:tcPr>
            <w:tcW w:w="1418" w:type="dxa"/>
            <w:vAlign w:val="center"/>
          </w:tcPr>
          <w:p>
            <w:pPr>
              <w:spacing w:beforeLines="50" w:afterLines="50"/>
              <w:jc w:val="center"/>
              <w:rPr>
                <w:szCs w:val="21"/>
              </w:rPr>
            </w:pPr>
            <w:r>
              <w:rPr>
                <w:rFonts w:hint="eastAsia"/>
                <w:szCs w:val="21"/>
              </w:rPr>
              <w:t>合作方式</w:t>
            </w:r>
          </w:p>
        </w:tc>
        <w:tc>
          <w:tcPr>
            <w:tcW w:w="1276" w:type="dxa"/>
            <w:vAlign w:val="center"/>
          </w:tcPr>
          <w:p>
            <w:pPr>
              <w:spacing w:beforeLines="50" w:afterLines="50"/>
              <w:jc w:val="center"/>
              <w:rPr>
                <w:szCs w:val="21"/>
              </w:rPr>
            </w:pPr>
            <w:r>
              <w:rPr>
                <w:rFonts w:hint="eastAsia"/>
                <w:szCs w:val="21"/>
              </w:rPr>
              <w:t>合作者/</w:t>
            </w:r>
          </w:p>
          <w:p>
            <w:pPr>
              <w:spacing w:beforeLines="50" w:afterLines="50"/>
              <w:jc w:val="center"/>
              <w:rPr>
                <w:szCs w:val="21"/>
              </w:rPr>
            </w:pPr>
            <w:r>
              <w:rPr>
                <w:rFonts w:hint="eastAsia"/>
                <w:szCs w:val="21"/>
              </w:rPr>
              <w:t>项目排名</w:t>
            </w:r>
          </w:p>
        </w:tc>
        <w:tc>
          <w:tcPr>
            <w:tcW w:w="1417" w:type="dxa"/>
            <w:vAlign w:val="center"/>
          </w:tcPr>
          <w:p>
            <w:pPr>
              <w:spacing w:beforeLines="50" w:afterLines="50"/>
              <w:jc w:val="center"/>
              <w:rPr>
                <w:szCs w:val="21"/>
              </w:rPr>
            </w:pPr>
            <w:r>
              <w:rPr>
                <w:rFonts w:hint="eastAsia"/>
                <w:szCs w:val="21"/>
              </w:rPr>
              <w:t>合作时间</w:t>
            </w:r>
          </w:p>
        </w:tc>
        <w:tc>
          <w:tcPr>
            <w:tcW w:w="2552" w:type="dxa"/>
            <w:vAlign w:val="center"/>
          </w:tcPr>
          <w:p>
            <w:pPr>
              <w:spacing w:beforeLines="50" w:afterLines="50"/>
              <w:jc w:val="center"/>
              <w:rPr>
                <w:szCs w:val="21"/>
              </w:rPr>
            </w:pPr>
            <w:r>
              <w:rPr>
                <w:rFonts w:hint="eastAsia"/>
                <w:szCs w:val="21"/>
              </w:rPr>
              <w:t>合作成果</w:t>
            </w:r>
          </w:p>
        </w:tc>
        <w:tc>
          <w:tcPr>
            <w:tcW w:w="1275" w:type="dxa"/>
            <w:vAlign w:val="center"/>
          </w:tcPr>
          <w:p>
            <w:pPr>
              <w:spacing w:beforeLines="50" w:afterLines="50"/>
              <w:jc w:val="center"/>
              <w:rPr>
                <w:szCs w:val="21"/>
              </w:rPr>
            </w:pPr>
            <w:r>
              <w:rPr>
                <w:rFonts w:hint="eastAsia"/>
                <w:szCs w:val="21"/>
              </w:rPr>
              <w:t>证明材料</w:t>
            </w:r>
          </w:p>
        </w:tc>
        <w:tc>
          <w:tcPr>
            <w:tcW w:w="567" w:type="dxa"/>
            <w:vAlign w:val="center"/>
          </w:tcPr>
          <w:p>
            <w:pPr>
              <w:spacing w:beforeLines="50" w:afterLines="50"/>
              <w:jc w:val="center"/>
              <w:rPr>
                <w:szCs w:val="21"/>
              </w:rPr>
            </w:pPr>
            <w:r>
              <w:rPr>
                <w:rFonts w:hint="eastAsia"/>
                <w:szCs w:val="21"/>
              </w:rPr>
              <w:t>备注</w:t>
            </w:r>
          </w:p>
        </w:tc>
      </w:tr>
      <w:tr>
        <w:trPr>
          <w:trHeight w:val="564" w:hRule="atLeast"/>
        </w:trPr>
        <w:tc>
          <w:tcPr>
            <w:tcW w:w="675" w:type="dxa"/>
            <w:vAlign w:val="top"/>
          </w:tcPr>
          <w:p>
            <w:pPr>
              <w:spacing w:beforeLines="50" w:afterLines="50"/>
              <w:rPr>
                <w:szCs w:val="21"/>
              </w:rPr>
            </w:pPr>
            <w:r>
              <w:rPr>
                <w:rFonts w:hint="eastAsia"/>
                <w:szCs w:val="21"/>
              </w:rPr>
              <w:t>1</w:t>
            </w:r>
          </w:p>
        </w:tc>
        <w:tc>
          <w:tcPr>
            <w:tcW w:w="1418" w:type="dxa"/>
            <w:vAlign w:val="top"/>
          </w:tcPr>
          <w:p>
            <w:pPr>
              <w:spacing w:beforeLines="50" w:afterLines="50"/>
              <w:rPr>
                <w:szCs w:val="21"/>
              </w:rPr>
            </w:pPr>
            <w:r>
              <w:rPr>
                <w:rFonts w:hint="eastAsia"/>
                <w:szCs w:val="21"/>
              </w:rPr>
              <w:t>合作研究</w:t>
            </w:r>
          </w:p>
        </w:tc>
        <w:tc>
          <w:tcPr>
            <w:tcW w:w="1276" w:type="dxa"/>
            <w:vAlign w:val="top"/>
          </w:tcPr>
          <w:p>
            <w:pPr>
              <w:spacing w:beforeLines="50" w:afterLines="50"/>
              <w:rPr>
                <w:szCs w:val="21"/>
              </w:rPr>
            </w:pPr>
            <w:r>
              <w:rPr>
                <w:rFonts w:hint="eastAsia"/>
                <w:szCs w:val="21"/>
              </w:rPr>
              <w:t>王 玉，2</w:t>
            </w:r>
          </w:p>
        </w:tc>
        <w:tc>
          <w:tcPr>
            <w:tcW w:w="1417" w:type="dxa"/>
            <w:vAlign w:val="top"/>
          </w:tcPr>
          <w:p>
            <w:pPr>
              <w:spacing w:beforeLines="50" w:afterLines="50"/>
              <w:rPr>
                <w:szCs w:val="21"/>
              </w:rPr>
            </w:pPr>
            <w:r>
              <w:rPr>
                <w:rFonts w:hint="eastAsia"/>
                <w:szCs w:val="21"/>
              </w:rPr>
              <w:t>2008-2015</w:t>
            </w:r>
          </w:p>
        </w:tc>
        <w:tc>
          <w:tcPr>
            <w:tcW w:w="2552" w:type="dxa"/>
            <w:vAlign w:val="top"/>
          </w:tcPr>
          <w:p>
            <w:pPr>
              <w:spacing w:beforeLines="50" w:afterLines="50"/>
              <w:rPr>
                <w:szCs w:val="21"/>
              </w:rPr>
            </w:pPr>
            <w:r>
              <w:rPr>
                <w:rFonts w:hint="eastAsia"/>
                <w:szCs w:val="21"/>
              </w:rPr>
              <w:t>论文、专利、专著</w:t>
            </w:r>
          </w:p>
        </w:tc>
        <w:tc>
          <w:tcPr>
            <w:tcW w:w="1275" w:type="dxa"/>
            <w:vAlign w:val="top"/>
          </w:tcPr>
          <w:p>
            <w:pPr>
              <w:spacing w:beforeLines="50" w:afterLines="50"/>
              <w:rPr>
                <w:szCs w:val="21"/>
              </w:rPr>
            </w:pPr>
            <w:r>
              <w:rPr>
                <w:rFonts w:hint="eastAsia"/>
                <w:szCs w:val="21"/>
              </w:rPr>
              <w:t>证书</w:t>
            </w:r>
          </w:p>
        </w:tc>
        <w:tc>
          <w:tcPr>
            <w:tcW w:w="567" w:type="dxa"/>
            <w:vAlign w:val="top"/>
          </w:tcPr>
          <w:p>
            <w:pPr>
              <w:spacing w:beforeLines="50" w:afterLines="50"/>
              <w:rPr>
                <w:szCs w:val="21"/>
              </w:rPr>
            </w:pPr>
          </w:p>
        </w:tc>
      </w:tr>
      <w:tr>
        <w:trPr>
          <w:trHeight w:val="630" w:hRule="atLeast"/>
        </w:trPr>
        <w:tc>
          <w:tcPr>
            <w:tcW w:w="675" w:type="dxa"/>
            <w:vAlign w:val="top"/>
          </w:tcPr>
          <w:p>
            <w:pPr>
              <w:spacing w:beforeLines="50" w:afterLines="50"/>
              <w:rPr>
                <w:szCs w:val="21"/>
              </w:rPr>
            </w:pPr>
            <w:r>
              <w:rPr>
                <w:rFonts w:hint="eastAsia"/>
                <w:szCs w:val="21"/>
              </w:rPr>
              <w:t>2</w:t>
            </w:r>
          </w:p>
        </w:tc>
        <w:tc>
          <w:tcPr>
            <w:tcW w:w="1418" w:type="dxa"/>
            <w:vAlign w:val="top"/>
          </w:tcPr>
          <w:p>
            <w:pPr>
              <w:spacing w:beforeLines="50" w:afterLines="50"/>
              <w:rPr>
                <w:szCs w:val="21"/>
              </w:rPr>
            </w:pPr>
            <w:r>
              <w:rPr>
                <w:rFonts w:hint="eastAsia"/>
                <w:szCs w:val="21"/>
              </w:rPr>
              <w:t>合作研究、技术推广</w:t>
            </w:r>
          </w:p>
        </w:tc>
        <w:tc>
          <w:tcPr>
            <w:tcW w:w="1276" w:type="dxa"/>
            <w:vAlign w:val="top"/>
          </w:tcPr>
          <w:p>
            <w:pPr>
              <w:spacing w:beforeLines="50" w:afterLines="50"/>
              <w:rPr>
                <w:szCs w:val="21"/>
              </w:rPr>
            </w:pPr>
            <w:r>
              <w:rPr>
                <w:rFonts w:hint="eastAsia"/>
                <w:szCs w:val="21"/>
              </w:rPr>
              <w:t>李玉胜，3</w:t>
            </w:r>
          </w:p>
        </w:tc>
        <w:tc>
          <w:tcPr>
            <w:tcW w:w="1417" w:type="dxa"/>
            <w:vAlign w:val="top"/>
          </w:tcPr>
          <w:p>
            <w:pPr>
              <w:spacing w:beforeLines="50" w:afterLines="50"/>
              <w:rPr>
                <w:szCs w:val="21"/>
              </w:rPr>
            </w:pPr>
            <w:r>
              <w:rPr>
                <w:rFonts w:hint="eastAsia"/>
                <w:szCs w:val="21"/>
              </w:rPr>
              <w:t>2008-2015</w:t>
            </w:r>
          </w:p>
        </w:tc>
        <w:tc>
          <w:tcPr>
            <w:tcW w:w="2552" w:type="dxa"/>
            <w:vAlign w:val="top"/>
          </w:tcPr>
          <w:p>
            <w:pPr>
              <w:spacing w:beforeLines="50" w:afterLines="50"/>
              <w:rPr>
                <w:szCs w:val="21"/>
              </w:rPr>
            </w:pPr>
            <w:r>
              <w:rPr>
                <w:rFonts w:hint="eastAsia"/>
                <w:szCs w:val="21"/>
              </w:rPr>
              <w:t>推广、标准</w:t>
            </w:r>
          </w:p>
        </w:tc>
        <w:tc>
          <w:tcPr>
            <w:tcW w:w="1275" w:type="dxa"/>
            <w:vAlign w:val="top"/>
          </w:tcPr>
          <w:p>
            <w:pPr>
              <w:spacing w:beforeLines="50" w:afterLines="50"/>
              <w:rPr>
                <w:szCs w:val="21"/>
              </w:rPr>
            </w:pPr>
            <w:r>
              <w:rPr>
                <w:rFonts w:hint="eastAsia"/>
                <w:szCs w:val="21"/>
              </w:rPr>
              <w:t>证书</w:t>
            </w:r>
          </w:p>
        </w:tc>
        <w:tc>
          <w:tcPr>
            <w:tcW w:w="567" w:type="dxa"/>
            <w:vAlign w:val="top"/>
          </w:tcPr>
          <w:p>
            <w:pPr>
              <w:spacing w:beforeLines="50" w:afterLines="50"/>
              <w:rPr>
                <w:szCs w:val="21"/>
              </w:rPr>
            </w:pPr>
          </w:p>
        </w:tc>
      </w:tr>
      <w:tr>
        <w:trPr>
          <w:trHeight w:val="274" w:hRule="atLeast"/>
        </w:trPr>
        <w:tc>
          <w:tcPr>
            <w:tcW w:w="675" w:type="dxa"/>
            <w:vAlign w:val="top"/>
          </w:tcPr>
          <w:p>
            <w:pPr>
              <w:spacing w:beforeLines="50" w:afterLines="50"/>
              <w:rPr>
                <w:szCs w:val="21"/>
              </w:rPr>
            </w:pPr>
            <w:r>
              <w:rPr>
                <w:rFonts w:hint="eastAsia"/>
                <w:szCs w:val="21"/>
              </w:rPr>
              <w:t>3</w:t>
            </w:r>
          </w:p>
        </w:tc>
        <w:tc>
          <w:tcPr>
            <w:tcW w:w="1418" w:type="dxa"/>
            <w:vAlign w:val="top"/>
          </w:tcPr>
          <w:p>
            <w:pPr>
              <w:spacing w:beforeLines="50" w:afterLines="50"/>
              <w:rPr>
                <w:szCs w:val="21"/>
              </w:rPr>
            </w:pPr>
            <w:r>
              <w:rPr>
                <w:rFonts w:hint="eastAsia"/>
                <w:szCs w:val="21"/>
              </w:rPr>
              <w:t>合作研究、技术推广</w:t>
            </w:r>
          </w:p>
        </w:tc>
        <w:tc>
          <w:tcPr>
            <w:tcW w:w="1276" w:type="dxa"/>
            <w:vAlign w:val="top"/>
          </w:tcPr>
          <w:p>
            <w:pPr>
              <w:spacing w:beforeLines="50" w:afterLines="50"/>
              <w:rPr>
                <w:szCs w:val="21"/>
              </w:rPr>
            </w:pPr>
            <w:r>
              <w:rPr>
                <w:rFonts w:hint="eastAsia"/>
                <w:szCs w:val="21"/>
              </w:rPr>
              <w:t>孙海伟，4</w:t>
            </w:r>
          </w:p>
        </w:tc>
        <w:tc>
          <w:tcPr>
            <w:tcW w:w="1417" w:type="dxa"/>
            <w:vAlign w:val="top"/>
          </w:tcPr>
          <w:p>
            <w:pPr>
              <w:spacing w:beforeLines="50" w:afterLines="50"/>
              <w:rPr>
                <w:szCs w:val="21"/>
              </w:rPr>
            </w:pPr>
            <w:r>
              <w:rPr>
                <w:rFonts w:hint="eastAsia"/>
                <w:szCs w:val="21"/>
              </w:rPr>
              <w:t>2008-2015</w:t>
            </w:r>
          </w:p>
        </w:tc>
        <w:tc>
          <w:tcPr>
            <w:tcW w:w="2552" w:type="dxa"/>
            <w:vAlign w:val="top"/>
          </w:tcPr>
          <w:p>
            <w:pPr>
              <w:spacing w:beforeLines="50" w:afterLines="50"/>
              <w:rPr>
                <w:szCs w:val="21"/>
              </w:rPr>
            </w:pPr>
            <w:r>
              <w:rPr>
                <w:rFonts w:hint="eastAsia"/>
                <w:szCs w:val="21"/>
              </w:rPr>
              <w:t>专著、种质资源、技术培训</w:t>
            </w:r>
          </w:p>
        </w:tc>
        <w:tc>
          <w:tcPr>
            <w:tcW w:w="1275" w:type="dxa"/>
            <w:vAlign w:val="top"/>
          </w:tcPr>
          <w:p>
            <w:pPr>
              <w:spacing w:beforeLines="50" w:afterLines="50"/>
              <w:rPr>
                <w:szCs w:val="21"/>
              </w:rPr>
            </w:pPr>
            <w:r>
              <w:rPr>
                <w:rFonts w:hint="eastAsia"/>
                <w:szCs w:val="21"/>
              </w:rPr>
              <w:t>科普著作</w:t>
            </w:r>
          </w:p>
        </w:tc>
        <w:tc>
          <w:tcPr>
            <w:tcW w:w="567" w:type="dxa"/>
            <w:vAlign w:val="top"/>
          </w:tcPr>
          <w:p>
            <w:pPr>
              <w:spacing w:beforeLines="50" w:afterLines="50"/>
              <w:rPr>
                <w:szCs w:val="21"/>
              </w:rPr>
            </w:pPr>
          </w:p>
        </w:tc>
      </w:tr>
      <w:tr>
        <w:trPr>
          <w:trHeight w:val="649" w:hRule="atLeast"/>
        </w:trPr>
        <w:tc>
          <w:tcPr>
            <w:tcW w:w="675" w:type="dxa"/>
            <w:vAlign w:val="top"/>
          </w:tcPr>
          <w:p>
            <w:pPr>
              <w:spacing w:beforeLines="50" w:afterLines="50"/>
              <w:rPr>
                <w:szCs w:val="21"/>
              </w:rPr>
            </w:pPr>
            <w:r>
              <w:rPr>
                <w:rFonts w:hint="eastAsia"/>
                <w:szCs w:val="21"/>
              </w:rPr>
              <w:t>4</w:t>
            </w:r>
          </w:p>
        </w:tc>
        <w:tc>
          <w:tcPr>
            <w:tcW w:w="1418" w:type="dxa"/>
            <w:vAlign w:val="top"/>
          </w:tcPr>
          <w:p>
            <w:pPr>
              <w:spacing w:beforeLines="50" w:afterLines="50"/>
              <w:rPr>
                <w:szCs w:val="21"/>
              </w:rPr>
            </w:pPr>
            <w:r>
              <w:rPr>
                <w:rFonts w:hint="eastAsia"/>
                <w:szCs w:val="21"/>
              </w:rPr>
              <w:t>技术推广</w:t>
            </w:r>
          </w:p>
        </w:tc>
        <w:tc>
          <w:tcPr>
            <w:tcW w:w="1276" w:type="dxa"/>
            <w:vAlign w:val="top"/>
          </w:tcPr>
          <w:p>
            <w:pPr>
              <w:spacing w:beforeLines="50" w:afterLines="50"/>
              <w:rPr>
                <w:szCs w:val="21"/>
              </w:rPr>
            </w:pPr>
            <w:r>
              <w:rPr>
                <w:rFonts w:hint="eastAsia"/>
                <w:szCs w:val="21"/>
              </w:rPr>
              <w:t>丁德恩，5</w:t>
            </w:r>
          </w:p>
        </w:tc>
        <w:tc>
          <w:tcPr>
            <w:tcW w:w="1417" w:type="dxa"/>
            <w:vAlign w:val="top"/>
          </w:tcPr>
          <w:p>
            <w:pPr>
              <w:spacing w:beforeLines="50" w:afterLines="50"/>
              <w:rPr>
                <w:szCs w:val="21"/>
              </w:rPr>
            </w:pPr>
            <w:r>
              <w:rPr>
                <w:rFonts w:hint="eastAsia"/>
                <w:szCs w:val="21"/>
              </w:rPr>
              <w:t>2008-2015</w:t>
            </w:r>
          </w:p>
        </w:tc>
        <w:tc>
          <w:tcPr>
            <w:tcW w:w="2552" w:type="dxa"/>
            <w:vAlign w:val="top"/>
          </w:tcPr>
          <w:p>
            <w:pPr>
              <w:spacing w:beforeLines="50" w:afterLines="50"/>
              <w:rPr>
                <w:szCs w:val="21"/>
              </w:rPr>
            </w:pPr>
            <w:r>
              <w:rPr>
                <w:rFonts w:hint="eastAsia"/>
                <w:szCs w:val="21"/>
              </w:rPr>
              <w:t>新品种选育、技术推广</w:t>
            </w:r>
          </w:p>
        </w:tc>
        <w:tc>
          <w:tcPr>
            <w:tcW w:w="1275" w:type="dxa"/>
            <w:vAlign w:val="top"/>
          </w:tcPr>
          <w:p>
            <w:pPr>
              <w:spacing w:beforeLines="50" w:afterLines="50"/>
              <w:rPr>
                <w:szCs w:val="21"/>
              </w:rPr>
            </w:pPr>
            <w:r>
              <w:rPr>
                <w:rFonts w:hint="eastAsia"/>
                <w:szCs w:val="21"/>
              </w:rPr>
              <w:t>证书</w:t>
            </w:r>
          </w:p>
        </w:tc>
        <w:tc>
          <w:tcPr>
            <w:tcW w:w="567" w:type="dxa"/>
            <w:vAlign w:val="top"/>
          </w:tcPr>
          <w:p>
            <w:pPr>
              <w:spacing w:beforeLines="50" w:afterLines="50"/>
              <w:rPr>
                <w:szCs w:val="21"/>
              </w:rPr>
            </w:pPr>
          </w:p>
        </w:tc>
      </w:tr>
      <w:tr>
        <w:tc>
          <w:tcPr>
            <w:tcW w:w="675" w:type="dxa"/>
            <w:vAlign w:val="top"/>
          </w:tcPr>
          <w:p>
            <w:pPr>
              <w:spacing w:beforeLines="50" w:afterLines="50"/>
              <w:rPr>
                <w:szCs w:val="21"/>
              </w:rPr>
            </w:pPr>
            <w:r>
              <w:rPr>
                <w:rFonts w:hint="eastAsia"/>
                <w:szCs w:val="21"/>
              </w:rPr>
              <w:t>5</w:t>
            </w:r>
          </w:p>
        </w:tc>
        <w:tc>
          <w:tcPr>
            <w:tcW w:w="1418" w:type="dxa"/>
            <w:vAlign w:val="top"/>
          </w:tcPr>
          <w:p>
            <w:pPr>
              <w:spacing w:beforeLines="50" w:afterLines="50"/>
              <w:rPr>
                <w:szCs w:val="21"/>
              </w:rPr>
            </w:pPr>
            <w:r>
              <w:rPr>
                <w:rFonts w:hint="eastAsia"/>
                <w:szCs w:val="21"/>
              </w:rPr>
              <w:t>合作研究</w:t>
            </w:r>
          </w:p>
        </w:tc>
        <w:tc>
          <w:tcPr>
            <w:tcW w:w="1276" w:type="dxa"/>
            <w:vAlign w:val="top"/>
          </w:tcPr>
          <w:p>
            <w:pPr>
              <w:spacing w:beforeLines="50" w:afterLines="50"/>
              <w:rPr>
                <w:szCs w:val="21"/>
              </w:rPr>
            </w:pPr>
            <w:r>
              <w:rPr>
                <w:rFonts w:hint="eastAsia"/>
                <w:szCs w:val="21"/>
              </w:rPr>
              <w:t>马德新，6</w:t>
            </w:r>
          </w:p>
        </w:tc>
        <w:tc>
          <w:tcPr>
            <w:tcW w:w="1417" w:type="dxa"/>
            <w:vAlign w:val="top"/>
          </w:tcPr>
          <w:p>
            <w:pPr>
              <w:spacing w:beforeLines="50" w:afterLines="50"/>
              <w:rPr>
                <w:szCs w:val="21"/>
              </w:rPr>
            </w:pPr>
            <w:r>
              <w:rPr>
                <w:rFonts w:hint="eastAsia"/>
                <w:szCs w:val="21"/>
              </w:rPr>
              <w:t>2011-2015</w:t>
            </w:r>
          </w:p>
        </w:tc>
        <w:tc>
          <w:tcPr>
            <w:tcW w:w="2552" w:type="dxa"/>
            <w:vAlign w:val="top"/>
          </w:tcPr>
          <w:p>
            <w:pPr>
              <w:spacing w:beforeLines="50" w:afterLines="50"/>
              <w:rPr>
                <w:szCs w:val="21"/>
              </w:rPr>
            </w:pPr>
            <w:r>
              <w:rPr>
                <w:rFonts w:hint="eastAsia"/>
                <w:szCs w:val="21"/>
              </w:rPr>
              <w:t>软件著作权</w:t>
            </w:r>
          </w:p>
        </w:tc>
        <w:tc>
          <w:tcPr>
            <w:tcW w:w="1275" w:type="dxa"/>
            <w:vAlign w:val="top"/>
          </w:tcPr>
          <w:p>
            <w:pPr>
              <w:spacing w:beforeLines="50" w:afterLines="50"/>
              <w:rPr>
                <w:szCs w:val="21"/>
              </w:rPr>
            </w:pPr>
            <w:r>
              <w:rPr>
                <w:rFonts w:hint="eastAsia"/>
                <w:szCs w:val="21"/>
              </w:rPr>
              <w:t>证书</w:t>
            </w:r>
          </w:p>
        </w:tc>
        <w:tc>
          <w:tcPr>
            <w:tcW w:w="567" w:type="dxa"/>
            <w:vAlign w:val="top"/>
          </w:tcPr>
          <w:p>
            <w:pPr>
              <w:spacing w:beforeLines="50" w:afterLines="50"/>
              <w:rPr>
                <w:szCs w:val="21"/>
              </w:rPr>
            </w:pPr>
          </w:p>
        </w:tc>
      </w:tr>
      <w:tr>
        <w:tc>
          <w:tcPr>
            <w:tcW w:w="675" w:type="dxa"/>
            <w:vAlign w:val="top"/>
          </w:tcPr>
          <w:p>
            <w:pPr>
              <w:spacing w:beforeLines="50" w:afterLines="50"/>
              <w:rPr>
                <w:szCs w:val="21"/>
              </w:rPr>
            </w:pPr>
            <w:r>
              <w:rPr>
                <w:rFonts w:hint="eastAsia"/>
                <w:szCs w:val="21"/>
              </w:rPr>
              <w:t>6</w:t>
            </w:r>
          </w:p>
        </w:tc>
        <w:tc>
          <w:tcPr>
            <w:tcW w:w="1418" w:type="dxa"/>
            <w:vAlign w:val="top"/>
          </w:tcPr>
          <w:p>
            <w:pPr>
              <w:spacing w:beforeLines="50" w:afterLines="50"/>
              <w:rPr>
                <w:szCs w:val="21"/>
              </w:rPr>
            </w:pPr>
            <w:r>
              <w:rPr>
                <w:rFonts w:hint="eastAsia"/>
                <w:szCs w:val="21"/>
              </w:rPr>
              <w:t>合作推广</w:t>
            </w:r>
          </w:p>
        </w:tc>
        <w:tc>
          <w:tcPr>
            <w:tcW w:w="1276" w:type="dxa"/>
            <w:vAlign w:val="top"/>
          </w:tcPr>
          <w:p>
            <w:pPr>
              <w:spacing w:beforeLines="50" w:afterLines="50"/>
              <w:rPr>
                <w:szCs w:val="21"/>
              </w:rPr>
            </w:pPr>
            <w:r>
              <w:rPr>
                <w:rFonts w:hint="eastAsia"/>
                <w:szCs w:val="21"/>
              </w:rPr>
              <w:t>王漪，7</w:t>
            </w:r>
          </w:p>
        </w:tc>
        <w:tc>
          <w:tcPr>
            <w:tcW w:w="1417" w:type="dxa"/>
            <w:vAlign w:val="top"/>
          </w:tcPr>
          <w:p>
            <w:pPr>
              <w:spacing w:beforeLines="50" w:afterLines="50"/>
              <w:rPr>
                <w:szCs w:val="21"/>
              </w:rPr>
            </w:pPr>
            <w:r>
              <w:rPr>
                <w:rFonts w:hint="eastAsia"/>
                <w:szCs w:val="21"/>
              </w:rPr>
              <w:t>2008-2015</w:t>
            </w:r>
          </w:p>
        </w:tc>
        <w:tc>
          <w:tcPr>
            <w:tcW w:w="2552" w:type="dxa"/>
            <w:vAlign w:val="top"/>
          </w:tcPr>
          <w:p>
            <w:pPr>
              <w:spacing w:beforeLines="50" w:afterLines="50"/>
              <w:rPr>
                <w:szCs w:val="21"/>
              </w:rPr>
            </w:pPr>
            <w:r>
              <w:rPr>
                <w:rFonts w:hint="eastAsia"/>
                <w:szCs w:val="21"/>
              </w:rPr>
              <w:t>技术推广、培训</w:t>
            </w:r>
          </w:p>
        </w:tc>
        <w:tc>
          <w:tcPr>
            <w:tcW w:w="1275" w:type="dxa"/>
            <w:vAlign w:val="top"/>
          </w:tcPr>
          <w:p>
            <w:pPr>
              <w:spacing w:beforeLines="50" w:afterLines="50"/>
              <w:rPr>
                <w:szCs w:val="21"/>
              </w:rPr>
            </w:pPr>
          </w:p>
        </w:tc>
        <w:tc>
          <w:tcPr>
            <w:tcW w:w="567" w:type="dxa"/>
            <w:vAlign w:val="top"/>
          </w:tcPr>
          <w:p>
            <w:pPr>
              <w:spacing w:beforeLines="50" w:afterLines="50"/>
              <w:rPr>
                <w:szCs w:val="21"/>
              </w:rPr>
            </w:pPr>
          </w:p>
        </w:tc>
      </w:tr>
      <w:tr>
        <w:tc>
          <w:tcPr>
            <w:tcW w:w="675" w:type="dxa"/>
            <w:vAlign w:val="top"/>
          </w:tcPr>
          <w:p>
            <w:pPr>
              <w:spacing w:beforeLines="50" w:afterLines="50"/>
              <w:rPr>
                <w:szCs w:val="21"/>
              </w:rPr>
            </w:pPr>
            <w:r>
              <w:rPr>
                <w:rFonts w:hint="eastAsia"/>
                <w:szCs w:val="21"/>
              </w:rPr>
              <w:t>7</w:t>
            </w:r>
          </w:p>
        </w:tc>
        <w:tc>
          <w:tcPr>
            <w:tcW w:w="1418" w:type="dxa"/>
            <w:vAlign w:val="top"/>
          </w:tcPr>
          <w:p>
            <w:pPr>
              <w:spacing w:beforeLines="50" w:afterLines="50"/>
              <w:rPr>
                <w:szCs w:val="21"/>
              </w:rPr>
            </w:pPr>
            <w:r>
              <w:rPr>
                <w:rFonts w:hint="eastAsia"/>
                <w:szCs w:val="21"/>
              </w:rPr>
              <w:t>合作推广</w:t>
            </w:r>
          </w:p>
        </w:tc>
        <w:tc>
          <w:tcPr>
            <w:tcW w:w="1276" w:type="dxa"/>
            <w:vAlign w:val="top"/>
          </w:tcPr>
          <w:p>
            <w:pPr>
              <w:spacing w:beforeLines="50" w:afterLines="50"/>
              <w:rPr>
                <w:szCs w:val="21"/>
              </w:rPr>
            </w:pPr>
            <w:r>
              <w:rPr>
                <w:rFonts w:hint="eastAsia"/>
                <w:szCs w:val="21"/>
              </w:rPr>
              <w:t>毕彩虹，8</w:t>
            </w:r>
          </w:p>
        </w:tc>
        <w:tc>
          <w:tcPr>
            <w:tcW w:w="1417" w:type="dxa"/>
            <w:vAlign w:val="top"/>
          </w:tcPr>
          <w:p>
            <w:pPr>
              <w:spacing w:beforeLines="50" w:afterLines="50"/>
              <w:rPr>
                <w:szCs w:val="21"/>
              </w:rPr>
            </w:pPr>
            <w:r>
              <w:rPr>
                <w:rFonts w:hint="eastAsia"/>
                <w:szCs w:val="21"/>
              </w:rPr>
              <w:t>2013-2015</w:t>
            </w:r>
          </w:p>
        </w:tc>
        <w:tc>
          <w:tcPr>
            <w:tcW w:w="2552" w:type="dxa"/>
            <w:vAlign w:val="top"/>
          </w:tcPr>
          <w:p>
            <w:pPr>
              <w:spacing w:beforeLines="50" w:afterLines="50"/>
              <w:rPr>
                <w:szCs w:val="21"/>
              </w:rPr>
            </w:pPr>
            <w:r>
              <w:rPr>
                <w:rFonts w:hint="eastAsia"/>
                <w:szCs w:val="21"/>
              </w:rPr>
              <w:t>技术培训、示范推广</w:t>
            </w:r>
          </w:p>
        </w:tc>
        <w:tc>
          <w:tcPr>
            <w:tcW w:w="1275" w:type="dxa"/>
            <w:vAlign w:val="top"/>
          </w:tcPr>
          <w:p>
            <w:pPr>
              <w:spacing w:beforeLines="50" w:afterLines="50"/>
              <w:rPr>
                <w:szCs w:val="21"/>
              </w:rPr>
            </w:pPr>
          </w:p>
        </w:tc>
        <w:tc>
          <w:tcPr>
            <w:tcW w:w="567" w:type="dxa"/>
            <w:vAlign w:val="top"/>
          </w:tcPr>
          <w:p>
            <w:pPr>
              <w:spacing w:beforeLines="50" w:afterLines="50"/>
              <w:rPr>
                <w:szCs w:val="21"/>
              </w:rPr>
            </w:pPr>
          </w:p>
        </w:tc>
      </w:tr>
      <w:tr>
        <w:tc>
          <w:tcPr>
            <w:tcW w:w="675" w:type="dxa"/>
            <w:vAlign w:val="top"/>
          </w:tcPr>
          <w:p>
            <w:pPr>
              <w:spacing w:beforeLines="50" w:afterLines="50"/>
              <w:rPr>
                <w:szCs w:val="21"/>
              </w:rPr>
            </w:pPr>
            <w:r>
              <w:rPr>
                <w:rFonts w:hint="eastAsia"/>
                <w:szCs w:val="21"/>
              </w:rPr>
              <w:t>8</w:t>
            </w:r>
          </w:p>
        </w:tc>
        <w:tc>
          <w:tcPr>
            <w:tcW w:w="1418" w:type="dxa"/>
            <w:vAlign w:val="top"/>
          </w:tcPr>
          <w:p>
            <w:pPr>
              <w:spacing w:beforeLines="50" w:afterLines="50"/>
              <w:rPr>
                <w:szCs w:val="21"/>
              </w:rPr>
            </w:pPr>
            <w:r>
              <w:rPr>
                <w:rFonts w:hint="eastAsia"/>
                <w:szCs w:val="21"/>
              </w:rPr>
              <w:t>合作推广</w:t>
            </w:r>
          </w:p>
        </w:tc>
        <w:tc>
          <w:tcPr>
            <w:tcW w:w="1276" w:type="dxa"/>
            <w:vAlign w:val="top"/>
          </w:tcPr>
          <w:p>
            <w:pPr>
              <w:spacing w:beforeLines="50" w:afterLines="50"/>
              <w:rPr>
                <w:szCs w:val="21"/>
              </w:rPr>
            </w:pPr>
            <w:r>
              <w:rPr>
                <w:rFonts w:hint="eastAsia"/>
                <w:szCs w:val="21"/>
              </w:rPr>
              <w:t>王林军，9</w:t>
            </w:r>
          </w:p>
        </w:tc>
        <w:tc>
          <w:tcPr>
            <w:tcW w:w="1417" w:type="dxa"/>
            <w:vAlign w:val="top"/>
          </w:tcPr>
          <w:p>
            <w:pPr>
              <w:spacing w:beforeLines="50" w:afterLines="50"/>
              <w:rPr>
                <w:szCs w:val="21"/>
              </w:rPr>
            </w:pPr>
            <w:r>
              <w:rPr>
                <w:rFonts w:hint="eastAsia"/>
                <w:szCs w:val="21"/>
              </w:rPr>
              <w:t>2010-2015</w:t>
            </w:r>
          </w:p>
        </w:tc>
        <w:tc>
          <w:tcPr>
            <w:tcW w:w="2552" w:type="dxa"/>
            <w:vAlign w:val="top"/>
          </w:tcPr>
          <w:p>
            <w:pPr>
              <w:spacing w:beforeLines="50" w:afterLines="50"/>
              <w:rPr>
                <w:szCs w:val="21"/>
              </w:rPr>
            </w:pPr>
            <w:r>
              <w:rPr>
                <w:rFonts w:hint="eastAsia"/>
                <w:szCs w:val="21"/>
              </w:rPr>
              <w:t>技术推广、培训</w:t>
            </w:r>
          </w:p>
        </w:tc>
        <w:tc>
          <w:tcPr>
            <w:tcW w:w="1275" w:type="dxa"/>
            <w:vAlign w:val="top"/>
          </w:tcPr>
          <w:p>
            <w:pPr>
              <w:spacing w:beforeLines="50" w:afterLines="50"/>
              <w:rPr>
                <w:szCs w:val="21"/>
              </w:rPr>
            </w:pPr>
          </w:p>
        </w:tc>
        <w:tc>
          <w:tcPr>
            <w:tcW w:w="567" w:type="dxa"/>
            <w:vAlign w:val="top"/>
          </w:tcPr>
          <w:p>
            <w:pPr>
              <w:spacing w:beforeLines="50" w:afterLines="50"/>
              <w:rPr>
                <w:szCs w:val="21"/>
              </w:rPr>
            </w:pPr>
          </w:p>
        </w:tc>
      </w:tr>
      <w:tr>
        <w:tc>
          <w:tcPr>
            <w:tcW w:w="675" w:type="dxa"/>
            <w:vAlign w:val="top"/>
          </w:tcPr>
          <w:p>
            <w:pPr>
              <w:spacing w:beforeLines="50" w:afterLines="50"/>
              <w:rPr>
                <w:szCs w:val="21"/>
              </w:rPr>
            </w:pPr>
            <w:r>
              <w:rPr>
                <w:rFonts w:hint="eastAsia"/>
                <w:szCs w:val="21"/>
              </w:rPr>
              <w:t>9</w:t>
            </w:r>
          </w:p>
        </w:tc>
        <w:tc>
          <w:tcPr>
            <w:tcW w:w="1418" w:type="dxa"/>
            <w:vAlign w:val="top"/>
          </w:tcPr>
          <w:p>
            <w:pPr>
              <w:spacing w:beforeLines="50" w:afterLines="50"/>
              <w:rPr>
                <w:szCs w:val="21"/>
              </w:rPr>
            </w:pPr>
            <w:r>
              <w:rPr>
                <w:rFonts w:hint="eastAsia"/>
                <w:szCs w:val="21"/>
              </w:rPr>
              <w:t>合作研究</w:t>
            </w:r>
          </w:p>
        </w:tc>
        <w:tc>
          <w:tcPr>
            <w:tcW w:w="1276" w:type="dxa"/>
            <w:vAlign w:val="top"/>
          </w:tcPr>
          <w:p>
            <w:pPr>
              <w:spacing w:beforeLines="50" w:afterLines="50"/>
              <w:rPr>
                <w:szCs w:val="21"/>
              </w:rPr>
            </w:pPr>
            <w:r>
              <w:rPr>
                <w:rFonts w:hint="eastAsia"/>
                <w:szCs w:val="21"/>
              </w:rPr>
              <w:t>范 凯，10</w:t>
            </w:r>
          </w:p>
        </w:tc>
        <w:tc>
          <w:tcPr>
            <w:tcW w:w="1417" w:type="dxa"/>
            <w:vAlign w:val="top"/>
          </w:tcPr>
          <w:p>
            <w:pPr>
              <w:spacing w:beforeLines="50" w:afterLines="50"/>
              <w:rPr>
                <w:szCs w:val="21"/>
              </w:rPr>
            </w:pPr>
            <w:r>
              <w:rPr>
                <w:rFonts w:hint="eastAsia"/>
                <w:szCs w:val="21"/>
              </w:rPr>
              <w:t>2009-2015</w:t>
            </w:r>
          </w:p>
        </w:tc>
        <w:tc>
          <w:tcPr>
            <w:tcW w:w="2552" w:type="dxa"/>
            <w:vAlign w:val="top"/>
          </w:tcPr>
          <w:p>
            <w:pPr>
              <w:spacing w:beforeLines="50" w:afterLines="50"/>
              <w:rPr>
                <w:szCs w:val="21"/>
              </w:rPr>
            </w:pPr>
            <w:r>
              <w:rPr>
                <w:rFonts w:hint="eastAsia"/>
                <w:szCs w:val="21"/>
              </w:rPr>
              <w:t>试验研究、发明专利</w:t>
            </w:r>
          </w:p>
        </w:tc>
        <w:tc>
          <w:tcPr>
            <w:tcW w:w="1275" w:type="dxa"/>
            <w:vAlign w:val="top"/>
          </w:tcPr>
          <w:p>
            <w:pPr>
              <w:spacing w:beforeLines="50" w:afterLines="50"/>
              <w:rPr>
                <w:szCs w:val="21"/>
              </w:rPr>
            </w:pPr>
            <w:r>
              <w:rPr>
                <w:rFonts w:hint="eastAsia"/>
                <w:szCs w:val="21"/>
              </w:rPr>
              <w:t>论文，证书</w:t>
            </w:r>
          </w:p>
        </w:tc>
        <w:tc>
          <w:tcPr>
            <w:tcW w:w="567" w:type="dxa"/>
            <w:vAlign w:val="top"/>
          </w:tcPr>
          <w:p>
            <w:pPr>
              <w:spacing w:beforeLines="50" w:afterLines="50"/>
              <w:rPr>
                <w:szCs w:val="21"/>
              </w:rPr>
            </w:pPr>
          </w:p>
        </w:tc>
      </w:tr>
      <w:tr>
        <w:tc>
          <w:tcPr>
            <w:tcW w:w="675" w:type="dxa"/>
            <w:vAlign w:val="top"/>
          </w:tcPr>
          <w:p>
            <w:pPr>
              <w:spacing w:beforeLines="50" w:afterLines="50"/>
              <w:rPr>
                <w:szCs w:val="21"/>
              </w:rPr>
            </w:pPr>
            <w:r>
              <w:rPr>
                <w:rFonts w:hint="eastAsia"/>
                <w:szCs w:val="21"/>
              </w:rPr>
              <w:t>10</w:t>
            </w:r>
          </w:p>
        </w:tc>
        <w:tc>
          <w:tcPr>
            <w:tcW w:w="1418" w:type="dxa"/>
            <w:vAlign w:val="top"/>
          </w:tcPr>
          <w:p>
            <w:pPr>
              <w:spacing w:beforeLines="50" w:afterLines="50"/>
              <w:rPr>
                <w:szCs w:val="21"/>
              </w:rPr>
            </w:pPr>
            <w:r>
              <w:rPr>
                <w:rFonts w:hint="eastAsia"/>
                <w:szCs w:val="21"/>
              </w:rPr>
              <w:t>合作推广</w:t>
            </w:r>
          </w:p>
        </w:tc>
        <w:tc>
          <w:tcPr>
            <w:tcW w:w="1276" w:type="dxa"/>
            <w:vAlign w:val="top"/>
          </w:tcPr>
          <w:p>
            <w:pPr>
              <w:spacing w:beforeLines="50" w:afterLines="50"/>
              <w:rPr>
                <w:szCs w:val="21"/>
              </w:rPr>
            </w:pPr>
            <w:r>
              <w:rPr>
                <w:rFonts w:hint="eastAsia"/>
                <w:szCs w:val="21"/>
              </w:rPr>
              <w:t>周波，11</w:t>
            </w:r>
          </w:p>
        </w:tc>
        <w:tc>
          <w:tcPr>
            <w:tcW w:w="1417" w:type="dxa"/>
            <w:vAlign w:val="top"/>
          </w:tcPr>
          <w:p>
            <w:pPr>
              <w:spacing w:beforeLines="50" w:afterLines="50"/>
              <w:rPr>
                <w:szCs w:val="21"/>
              </w:rPr>
            </w:pPr>
            <w:r>
              <w:rPr>
                <w:rFonts w:hint="eastAsia"/>
                <w:szCs w:val="21"/>
              </w:rPr>
              <w:t>2013-2015</w:t>
            </w:r>
          </w:p>
        </w:tc>
        <w:tc>
          <w:tcPr>
            <w:tcW w:w="2552" w:type="dxa"/>
            <w:vAlign w:val="top"/>
          </w:tcPr>
          <w:p>
            <w:pPr>
              <w:spacing w:beforeLines="50" w:afterLines="50"/>
              <w:rPr>
                <w:szCs w:val="21"/>
              </w:rPr>
            </w:pPr>
            <w:r>
              <w:rPr>
                <w:rFonts w:hint="eastAsia"/>
                <w:szCs w:val="21"/>
              </w:rPr>
              <w:t>技术培训、推广</w:t>
            </w:r>
          </w:p>
        </w:tc>
        <w:tc>
          <w:tcPr>
            <w:tcW w:w="1275" w:type="dxa"/>
            <w:vAlign w:val="top"/>
          </w:tcPr>
          <w:p>
            <w:pPr>
              <w:spacing w:beforeLines="50" w:afterLines="50"/>
              <w:rPr>
                <w:szCs w:val="21"/>
              </w:rPr>
            </w:pPr>
          </w:p>
        </w:tc>
        <w:tc>
          <w:tcPr>
            <w:tcW w:w="567" w:type="dxa"/>
            <w:vAlign w:val="top"/>
          </w:tcPr>
          <w:p>
            <w:pPr>
              <w:spacing w:beforeLines="50" w:afterLines="50"/>
              <w:rPr>
                <w:szCs w:val="21"/>
              </w:rPr>
            </w:pPr>
          </w:p>
        </w:tc>
      </w:tr>
      <w:tr>
        <w:tc>
          <w:tcPr>
            <w:tcW w:w="675" w:type="dxa"/>
            <w:vAlign w:val="top"/>
          </w:tcPr>
          <w:p>
            <w:pPr>
              <w:spacing w:beforeLines="50" w:afterLines="50"/>
              <w:rPr>
                <w:szCs w:val="21"/>
              </w:rPr>
            </w:pPr>
            <w:r>
              <w:rPr>
                <w:rFonts w:hint="eastAsia"/>
                <w:szCs w:val="21"/>
              </w:rPr>
              <w:t>11</w:t>
            </w:r>
          </w:p>
        </w:tc>
        <w:tc>
          <w:tcPr>
            <w:tcW w:w="1418" w:type="dxa"/>
            <w:vAlign w:val="top"/>
          </w:tcPr>
          <w:p>
            <w:pPr>
              <w:spacing w:beforeLines="50" w:afterLines="50"/>
              <w:rPr>
                <w:szCs w:val="21"/>
              </w:rPr>
            </w:pPr>
            <w:r>
              <w:rPr>
                <w:rFonts w:hint="eastAsia"/>
                <w:szCs w:val="21"/>
              </w:rPr>
              <w:t>合作研究</w:t>
            </w:r>
          </w:p>
        </w:tc>
        <w:tc>
          <w:tcPr>
            <w:tcW w:w="1276" w:type="dxa"/>
            <w:vAlign w:val="top"/>
          </w:tcPr>
          <w:p>
            <w:pPr>
              <w:spacing w:beforeLines="50" w:afterLines="50"/>
              <w:rPr>
                <w:szCs w:val="21"/>
              </w:rPr>
            </w:pPr>
            <w:r>
              <w:rPr>
                <w:rFonts w:hint="eastAsia"/>
                <w:szCs w:val="21"/>
              </w:rPr>
              <w:t>郑超，12</w:t>
            </w:r>
          </w:p>
        </w:tc>
        <w:tc>
          <w:tcPr>
            <w:tcW w:w="1417" w:type="dxa"/>
            <w:vAlign w:val="top"/>
          </w:tcPr>
          <w:p>
            <w:pPr>
              <w:spacing w:beforeLines="50" w:afterLines="50"/>
              <w:rPr>
                <w:szCs w:val="21"/>
              </w:rPr>
            </w:pPr>
            <w:r>
              <w:rPr>
                <w:rFonts w:hint="eastAsia"/>
                <w:szCs w:val="21"/>
              </w:rPr>
              <w:t>2013-2015</w:t>
            </w:r>
          </w:p>
        </w:tc>
        <w:tc>
          <w:tcPr>
            <w:tcW w:w="2552" w:type="dxa"/>
            <w:vAlign w:val="top"/>
          </w:tcPr>
          <w:p>
            <w:pPr>
              <w:spacing w:beforeLines="50" w:afterLines="50"/>
              <w:rPr>
                <w:szCs w:val="21"/>
              </w:rPr>
            </w:pPr>
            <w:r>
              <w:rPr>
                <w:rFonts w:hint="eastAsia"/>
                <w:szCs w:val="21"/>
              </w:rPr>
              <w:t>试验研究</w:t>
            </w:r>
          </w:p>
        </w:tc>
        <w:tc>
          <w:tcPr>
            <w:tcW w:w="1275" w:type="dxa"/>
            <w:vAlign w:val="top"/>
          </w:tcPr>
          <w:p>
            <w:pPr>
              <w:spacing w:beforeLines="50" w:afterLines="50"/>
              <w:rPr>
                <w:szCs w:val="21"/>
              </w:rPr>
            </w:pPr>
            <w:r>
              <w:rPr>
                <w:rFonts w:hint="eastAsia"/>
                <w:szCs w:val="21"/>
              </w:rPr>
              <w:t>论文</w:t>
            </w:r>
          </w:p>
        </w:tc>
        <w:tc>
          <w:tcPr>
            <w:tcW w:w="567" w:type="dxa"/>
            <w:vAlign w:val="top"/>
          </w:tcPr>
          <w:p>
            <w:pPr>
              <w:spacing w:beforeLines="50" w:afterLines="50"/>
              <w:rPr>
                <w:szCs w:val="21"/>
              </w:rPr>
            </w:pPr>
          </w:p>
        </w:tc>
      </w:tr>
      <w:tr>
        <w:tc>
          <w:tcPr>
            <w:tcW w:w="675" w:type="dxa"/>
            <w:vAlign w:val="top"/>
          </w:tcPr>
          <w:p>
            <w:pPr>
              <w:spacing w:beforeLines="50" w:afterLines="50"/>
              <w:rPr>
                <w:szCs w:val="21"/>
              </w:rPr>
            </w:pPr>
            <w:r>
              <w:rPr>
                <w:rFonts w:hint="eastAsia"/>
                <w:szCs w:val="21"/>
              </w:rPr>
              <w:t>12</w:t>
            </w:r>
          </w:p>
        </w:tc>
        <w:tc>
          <w:tcPr>
            <w:tcW w:w="1418" w:type="dxa"/>
            <w:vAlign w:val="top"/>
          </w:tcPr>
          <w:p>
            <w:pPr>
              <w:spacing w:beforeLines="50" w:afterLines="50"/>
              <w:rPr>
                <w:szCs w:val="21"/>
              </w:rPr>
            </w:pPr>
            <w:r>
              <w:rPr>
                <w:rFonts w:hint="eastAsia"/>
                <w:szCs w:val="21"/>
              </w:rPr>
              <w:t>合作研究</w:t>
            </w:r>
          </w:p>
        </w:tc>
        <w:tc>
          <w:tcPr>
            <w:tcW w:w="1276" w:type="dxa"/>
            <w:vAlign w:val="top"/>
          </w:tcPr>
          <w:p>
            <w:pPr>
              <w:spacing w:beforeLines="50" w:afterLines="50"/>
              <w:rPr>
                <w:szCs w:val="21"/>
              </w:rPr>
            </w:pPr>
            <w:r>
              <w:rPr>
                <w:rFonts w:hint="eastAsia"/>
                <w:szCs w:val="21"/>
              </w:rPr>
              <w:t>申加枝，13</w:t>
            </w:r>
          </w:p>
        </w:tc>
        <w:tc>
          <w:tcPr>
            <w:tcW w:w="1417" w:type="dxa"/>
            <w:vAlign w:val="top"/>
          </w:tcPr>
          <w:p>
            <w:pPr>
              <w:spacing w:beforeLines="50" w:afterLines="50"/>
              <w:rPr>
                <w:szCs w:val="21"/>
              </w:rPr>
            </w:pPr>
            <w:r>
              <w:rPr>
                <w:rFonts w:hint="eastAsia"/>
                <w:szCs w:val="21"/>
              </w:rPr>
              <w:t>2013-2015</w:t>
            </w:r>
          </w:p>
        </w:tc>
        <w:tc>
          <w:tcPr>
            <w:tcW w:w="2552" w:type="dxa"/>
            <w:vAlign w:val="top"/>
          </w:tcPr>
          <w:p>
            <w:pPr>
              <w:spacing w:beforeLines="50" w:afterLines="50"/>
              <w:rPr>
                <w:szCs w:val="21"/>
              </w:rPr>
            </w:pPr>
            <w:r>
              <w:rPr>
                <w:rFonts w:hint="eastAsia"/>
                <w:szCs w:val="21"/>
              </w:rPr>
              <w:t>试验研究</w:t>
            </w:r>
          </w:p>
        </w:tc>
        <w:tc>
          <w:tcPr>
            <w:tcW w:w="1275" w:type="dxa"/>
            <w:vAlign w:val="top"/>
          </w:tcPr>
          <w:p>
            <w:pPr>
              <w:spacing w:beforeLines="50" w:afterLines="50"/>
              <w:rPr>
                <w:szCs w:val="21"/>
              </w:rPr>
            </w:pPr>
            <w:r>
              <w:rPr>
                <w:rFonts w:hint="eastAsia"/>
                <w:szCs w:val="21"/>
              </w:rPr>
              <w:t>论文</w:t>
            </w:r>
          </w:p>
        </w:tc>
        <w:tc>
          <w:tcPr>
            <w:tcW w:w="567" w:type="dxa"/>
            <w:vAlign w:val="top"/>
          </w:tcPr>
          <w:p>
            <w:pPr>
              <w:spacing w:beforeLines="50" w:afterLines="50"/>
              <w:rPr>
                <w:szCs w:val="21"/>
              </w:rPr>
            </w:pPr>
          </w:p>
        </w:tc>
      </w:tr>
      <w:tr>
        <w:tc>
          <w:tcPr>
            <w:tcW w:w="675" w:type="dxa"/>
            <w:vAlign w:val="top"/>
          </w:tcPr>
          <w:p>
            <w:pPr>
              <w:spacing w:beforeLines="50" w:afterLines="50"/>
              <w:rPr>
                <w:szCs w:val="21"/>
              </w:rPr>
            </w:pPr>
            <w:r>
              <w:rPr>
                <w:rFonts w:hint="eastAsia"/>
                <w:szCs w:val="21"/>
              </w:rPr>
              <w:t>13</w:t>
            </w:r>
          </w:p>
        </w:tc>
        <w:tc>
          <w:tcPr>
            <w:tcW w:w="1418" w:type="dxa"/>
            <w:vAlign w:val="top"/>
          </w:tcPr>
          <w:p>
            <w:pPr>
              <w:spacing w:beforeLines="50" w:afterLines="50"/>
              <w:rPr>
                <w:szCs w:val="21"/>
              </w:rPr>
            </w:pPr>
            <w:r>
              <w:rPr>
                <w:rFonts w:hint="eastAsia"/>
                <w:szCs w:val="21"/>
              </w:rPr>
              <w:t>合作研究</w:t>
            </w:r>
          </w:p>
        </w:tc>
        <w:tc>
          <w:tcPr>
            <w:tcW w:w="1276" w:type="dxa"/>
            <w:vAlign w:val="top"/>
          </w:tcPr>
          <w:p>
            <w:pPr>
              <w:spacing w:beforeLines="50" w:afterLines="50"/>
              <w:rPr>
                <w:szCs w:val="21"/>
              </w:rPr>
            </w:pPr>
            <w:r>
              <w:rPr>
                <w:rFonts w:hint="eastAsia"/>
                <w:szCs w:val="21"/>
              </w:rPr>
              <w:t>马青平，14</w:t>
            </w:r>
          </w:p>
        </w:tc>
        <w:tc>
          <w:tcPr>
            <w:tcW w:w="1417" w:type="dxa"/>
            <w:vAlign w:val="top"/>
          </w:tcPr>
          <w:p>
            <w:pPr>
              <w:spacing w:beforeLines="50" w:afterLines="50"/>
              <w:rPr>
                <w:szCs w:val="21"/>
              </w:rPr>
            </w:pPr>
            <w:r>
              <w:rPr>
                <w:rFonts w:hint="eastAsia"/>
                <w:szCs w:val="21"/>
              </w:rPr>
              <w:t>2012-2015</w:t>
            </w:r>
          </w:p>
        </w:tc>
        <w:tc>
          <w:tcPr>
            <w:tcW w:w="2552" w:type="dxa"/>
            <w:vAlign w:val="top"/>
          </w:tcPr>
          <w:p>
            <w:pPr>
              <w:spacing w:beforeLines="50" w:afterLines="50"/>
              <w:rPr>
                <w:szCs w:val="21"/>
              </w:rPr>
            </w:pPr>
            <w:r>
              <w:rPr>
                <w:rFonts w:hint="eastAsia"/>
                <w:szCs w:val="21"/>
              </w:rPr>
              <w:t>试验研究</w:t>
            </w:r>
          </w:p>
        </w:tc>
        <w:tc>
          <w:tcPr>
            <w:tcW w:w="1275" w:type="dxa"/>
            <w:vAlign w:val="top"/>
          </w:tcPr>
          <w:p>
            <w:pPr>
              <w:spacing w:beforeLines="50" w:afterLines="50"/>
              <w:rPr>
                <w:szCs w:val="21"/>
              </w:rPr>
            </w:pPr>
            <w:r>
              <w:rPr>
                <w:rFonts w:hint="eastAsia"/>
                <w:szCs w:val="21"/>
              </w:rPr>
              <w:t>论文</w:t>
            </w:r>
          </w:p>
        </w:tc>
        <w:tc>
          <w:tcPr>
            <w:tcW w:w="567" w:type="dxa"/>
            <w:vAlign w:val="top"/>
          </w:tcPr>
          <w:p>
            <w:pPr>
              <w:spacing w:beforeLines="50" w:afterLines="50"/>
              <w:rPr>
                <w:szCs w:val="21"/>
              </w:rPr>
            </w:pPr>
          </w:p>
        </w:tc>
      </w:tr>
      <w:tr>
        <w:tc>
          <w:tcPr>
            <w:tcW w:w="675" w:type="dxa"/>
            <w:vAlign w:val="top"/>
          </w:tcPr>
          <w:p>
            <w:pPr>
              <w:spacing w:beforeLines="50" w:afterLines="50"/>
              <w:rPr>
                <w:szCs w:val="21"/>
              </w:rPr>
            </w:pPr>
          </w:p>
        </w:tc>
        <w:tc>
          <w:tcPr>
            <w:tcW w:w="1418" w:type="dxa"/>
            <w:vAlign w:val="top"/>
          </w:tcPr>
          <w:p>
            <w:pPr>
              <w:spacing w:beforeLines="50" w:afterLines="50"/>
              <w:rPr>
                <w:szCs w:val="21"/>
              </w:rPr>
            </w:pPr>
          </w:p>
        </w:tc>
        <w:tc>
          <w:tcPr>
            <w:tcW w:w="1276" w:type="dxa"/>
            <w:vAlign w:val="top"/>
          </w:tcPr>
          <w:p>
            <w:pPr>
              <w:spacing w:beforeLines="50" w:afterLines="50"/>
              <w:rPr>
                <w:szCs w:val="21"/>
              </w:rPr>
            </w:pPr>
          </w:p>
        </w:tc>
        <w:tc>
          <w:tcPr>
            <w:tcW w:w="1417" w:type="dxa"/>
            <w:vAlign w:val="top"/>
          </w:tcPr>
          <w:p>
            <w:pPr>
              <w:spacing w:beforeLines="50" w:afterLines="50"/>
              <w:rPr>
                <w:szCs w:val="21"/>
              </w:rPr>
            </w:pPr>
          </w:p>
        </w:tc>
        <w:tc>
          <w:tcPr>
            <w:tcW w:w="2552" w:type="dxa"/>
            <w:vAlign w:val="top"/>
          </w:tcPr>
          <w:p>
            <w:pPr>
              <w:spacing w:beforeLines="50" w:afterLines="50"/>
              <w:rPr>
                <w:szCs w:val="21"/>
              </w:rPr>
            </w:pPr>
          </w:p>
        </w:tc>
        <w:tc>
          <w:tcPr>
            <w:tcW w:w="1275" w:type="dxa"/>
            <w:vAlign w:val="top"/>
          </w:tcPr>
          <w:p>
            <w:pPr>
              <w:spacing w:beforeLines="50" w:afterLines="50"/>
              <w:rPr>
                <w:szCs w:val="21"/>
              </w:rPr>
            </w:pPr>
          </w:p>
        </w:tc>
        <w:tc>
          <w:tcPr>
            <w:tcW w:w="567" w:type="dxa"/>
            <w:vAlign w:val="top"/>
          </w:tcPr>
          <w:p>
            <w:pPr>
              <w:spacing w:beforeLines="50" w:afterLines="50"/>
              <w:rPr>
                <w:szCs w:val="21"/>
              </w:rPr>
            </w:pPr>
          </w:p>
        </w:tc>
      </w:tr>
    </w:tbl>
    <w:p/>
    <w:sectPr>
      <w:pgSz w:w="11906" w:h="16838"/>
      <w:pgMar w:top="1440" w:right="1797" w:bottom="1440" w:left="1797"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华文楷体">
    <w:altName w:val="楷体_GB2312"/>
    <w:panose1 w:val="02010600040101010101"/>
    <w:charset w:val="86"/>
    <w:family w:val="auto"/>
    <w:pitch w:val="default"/>
    <w:sig w:usb0="00000287" w:usb1="080F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A00002EF" w:usb1="4000004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jc w:val="center"/>
    </w:pPr>
    <w:r>
      <w:fldChar w:fldCharType="begin"/>
    </w:r>
    <w:r>
      <w:instrText xml:space="preserve">PAGE   \* MERGEFORMAT</w:instrText>
    </w:r>
    <w:r>
      <w:fldChar w:fldCharType="separate"/>
    </w:r>
    <w:r>
      <w:rPr>
        <w:lang w:val="zh-CN"/>
      </w:rPr>
      <w:t>1</w: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黑体"/>
      <w:kern w:val="2"/>
      <w:sz w:val="21"/>
      <w:szCs w:val="22"/>
      <w:lang w:val="en-US" w:eastAsia="zh-CN" w:bidi="ar-SA"/>
    </w:rPr>
  </w:style>
  <w:style w:type="paragraph" w:styleId="2">
    <w:name w:val="heading 2"/>
    <w:basedOn w:val="1"/>
    <w:next w:val="1"/>
    <w:link w:val="3"/>
    <w:pPr>
      <w:keepNext/>
      <w:keepLines/>
      <w:spacing w:beforeLines="50" w:afterLines="50" w:line="390" w:lineRule="exact"/>
      <w:jc w:val="center"/>
      <w:outlineLvl w:val="1"/>
    </w:pPr>
    <w:rPr>
      <w:rFonts w:ascii="Arial" w:hAnsi="Arial" w:eastAsia="黑体" w:cs="Times New Roman"/>
      <w:sz w:val="32"/>
      <w:szCs w:val="32"/>
      <w:lang/>
    </w:rPr>
  </w:style>
  <w:style w:type="character" w:default="1" w:styleId="4">
    <w:name w:val="Default Paragraph Font"/>
  </w:style>
  <w:style w:type="character" w:customStyle="1" w:styleId="3">
    <w:name w:val="标题 2 Char"/>
    <w:basedOn w:val="4"/>
    <w:link w:val="2"/>
    <w:semiHidden/>
    <w:rPr>
      <w:rFonts w:ascii="Arial" w:hAnsi="Arial" w:eastAsia="黑体" w:cs="Times New Roman"/>
      <w:sz w:val="32"/>
      <w:szCs w:val="32"/>
      <w:lang/>
    </w:rPr>
  </w:style>
  <w:style w:type="character" w:customStyle="1" w:styleId="5">
    <w:name w:val="纯文本 Char"/>
    <w:basedOn w:val="4"/>
    <w:link w:val="6"/>
    <w:semiHidden/>
    <w:rPr>
      <w:rFonts w:ascii="仿宋_GB2312" w:hAnsi="Times New Roman" w:eastAsia="宋体" w:cs="Times New Roman"/>
      <w:sz w:val="24"/>
      <w:szCs w:val="24"/>
    </w:rPr>
  </w:style>
  <w:style w:type="paragraph" w:customStyle="1" w:styleId="6">
    <w:name w:val="Plain Text"/>
    <w:basedOn w:val="1"/>
    <w:link w:val="5"/>
    <w:pPr>
      <w:spacing w:line="360" w:lineRule="auto"/>
      <w:ind w:firstLine="480" w:firstLineChars="200"/>
    </w:pPr>
    <w:rPr>
      <w:rFonts w:ascii="仿宋_GB2312" w:hAnsi="Times New Roman" w:eastAsia="宋体" w:cs="Times New Roman"/>
      <w:sz w:val="24"/>
      <w:szCs w:val="24"/>
    </w:rPr>
  </w:style>
  <w:style w:type="paragraph" w:styleId="7">
    <w:name w:val="footer"/>
    <w:basedOn w:val="1"/>
    <w:link w:val="8"/>
    <w:pPr>
      <w:tabs>
        <w:tab w:val="center" w:pos="4153"/>
        <w:tab w:val="right" w:pos="8306"/>
      </w:tabs>
      <w:snapToGrid w:val="0"/>
      <w:jc w:val="left"/>
    </w:pPr>
    <w:rPr>
      <w:sz w:val="18"/>
      <w:szCs w:val="18"/>
    </w:rPr>
  </w:style>
  <w:style w:type="character" w:customStyle="1" w:styleId="8">
    <w:name w:val="页脚 Char"/>
    <w:basedOn w:val="4"/>
    <w:link w:val="7"/>
    <w:semiHidden/>
    <w:rPr>
      <w:sz w:val="18"/>
      <w:szCs w:val="18"/>
    </w:rPr>
  </w:style>
  <w:style w:type="paragraph" w:styleId="9">
    <w:name w:val="header"/>
    <w:basedOn w:val="1"/>
    <w:link w:val="10"/>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4"/>
    <w:link w:val="9"/>
    <w:semiHidden/>
    <w:rPr>
      <w:sz w:val="18"/>
      <w:szCs w:val="18"/>
    </w:rPr>
  </w:style>
  <w:style w:type="character" w:styleId="11">
    <w:name w:val="Strong"/>
    <w:rPr>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QAU</Company>
  <Pages>11</Pages>
  <Words>1424</Words>
  <Characters>8120</Characters>
  <Lines>67</Lines>
  <Paragraphs>19</Paragraphs>
  <TotalTime>0</TotalTime>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2016-06-14T15:02:00Z</dcterms:created>
  <dc:creator>DZT</dc:creator>
  <dcterms:modified xsi:type="dcterms:W3CDTF">2016-06-15T11:01:26Z</dcterms:modified>
  <dc:title>DZT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