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2017年度各学院自然基金申请任务量</w:t>
      </w:r>
    </w:p>
    <w:p/>
    <w:p/>
    <w:tbl>
      <w:tblPr>
        <w:tblW w:w="7860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8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</w:rPr>
              <w:t>学  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申请量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动物科技学院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农学与植物保护学院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生命科学学院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化学与药学院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理学与信息科学学院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资源与环境学院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园艺学院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食品科学与工程学院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海洋科学与工程学院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园林与林学院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机电工程学院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建筑工程学院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经济与管理学院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人文社科学院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合作社学院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tblCellSpacing w:w="0" w:type="dxa"/>
        </w:trPr>
        <w:tc>
          <w:tcPr>
            <w:tcW w:w="3938" w:type="dxa"/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合    计</w:t>
            </w:r>
          </w:p>
        </w:tc>
        <w:tc>
          <w:tcPr>
            <w:tcW w:w="3922" w:type="dxa"/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1630E"/>
    <w:rsid w:val="7EB163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2017-01-26T06:30:00Z</dcterms:created>
  <dc:creator>王兆华 }</dc:creator>
  <cp:lastModifiedBy>王兆华 }</cp:lastModifiedBy>
  <dcterms:modified xsi:type="dcterms:W3CDTF">2017-01-26T06:33:32Z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