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山东省技术创新中心（转建类）建设方案编写提纲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一、现有</w:t>
      </w:r>
      <w:r>
        <w:rPr>
          <w:rFonts w:ascii="仿宋_GB2312" w:eastAsia="仿宋_GB2312"/>
          <w:sz w:val="32"/>
          <w:szCs w:val="32"/>
        </w:rPr>
        <w:t>中心的基本情况</w:t>
      </w:r>
      <w:r>
        <w:rPr>
          <w:rFonts w:hint="eastAsia" w:ascii="仿宋_GB2312" w:eastAsia="仿宋_GB2312"/>
          <w:sz w:val="32"/>
          <w:szCs w:val="32"/>
        </w:rPr>
        <w:t>（包括研究领域</w:t>
      </w:r>
      <w:r>
        <w:rPr>
          <w:rFonts w:ascii="仿宋_GB2312" w:eastAsia="仿宋_GB2312"/>
          <w:sz w:val="32"/>
          <w:szCs w:val="32"/>
        </w:rPr>
        <w:t>和方向、</w:t>
      </w:r>
      <w:r>
        <w:rPr>
          <w:rFonts w:hint="eastAsia" w:ascii="仿宋_GB2312" w:eastAsia="仿宋_GB2312"/>
          <w:sz w:val="32"/>
          <w:szCs w:val="32"/>
        </w:rPr>
        <w:t>科研队伍</w:t>
      </w:r>
      <w:r>
        <w:rPr>
          <w:rFonts w:ascii="仿宋_GB2312" w:eastAsia="仿宋_GB2312"/>
          <w:sz w:val="32"/>
          <w:szCs w:val="32"/>
        </w:rPr>
        <w:t>、科研设备、</w:t>
      </w:r>
      <w:r>
        <w:rPr>
          <w:rFonts w:hint="eastAsia" w:ascii="仿宋_GB2312" w:eastAsia="仿宋_GB2312"/>
          <w:sz w:val="32"/>
          <w:szCs w:val="32"/>
        </w:rPr>
        <w:t>科研</w:t>
      </w:r>
      <w:r>
        <w:rPr>
          <w:rFonts w:ascii="仿宋_GB2312" w:eastAsia="仿宋_GB2312"/>
          <w:sz w:val="32"/>
          <w:szCs w:val="32"/>
        </w:rPr>
        <w:t>场地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二、现有中心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研发能力建设情况（包括</w:t>
      </w:r>
      <w:r>
        <w:rPr>
          <w:rFonts w:ascii="仿宋_GB2312" w:eastAsia="仿宋_GB2312"/>
          <w:sz w:val="32"/>
          <w:szCs w:val="32"/>
        </w:rPr>
        <w:t>近三年</w:t>
      </w:r>
      <w:r>
        <w:rPr>
          <w:rFonts w:hint="eastAsia" w:ascii="仿宋_GB2312" w:eastAsia="仿宋_GB2312"/>
          <w:sz w:val="32"/>
          <w:szCs w:val="32"/>
        </w:rPr>
        <w:t>承担科研项目和科研经费投入情况，科研团队建设、高层次人才引进</w:t>
      </w:r>
      <w:r>
        <w:rPr>
          <w:rFonts w:ascii="仿宋_GB2312" w:eastAsia="仿宋_GB2312"/>
          <w:sz w:val="32"/>
          <w:szCs w:val="32"/>
        </w:rPr>
        <w:t>培养</w:t>
      </w:r>
      <w:r>
        <w:rPr>
          <w:rFonts w:hint="eastAsia" w:ascii="仿宋_GB2312" w:eastAsia="仿宋_GB2312"/>
          <w:sz w:val="32"/>
          <w:szCs w:val="32"/>
        </w:rPr>
        <w:t>情况等）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三、现有中心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研发产出及成效情况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包括近三年知识产权创造、标准制定、获得科技奖励、成果转化推广、新产品新工艺新技术研发、产学研合作情况及成效等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四、建设省</w:t>
      </w:r>
      <w:r>
        <w:rPr>
          <w:rFonts w:ascii="仿宋_GB2312" w:eastAsia="仿宋_GB2312"/>
          <w:sz w:val="32"/>
          <w:szCs w:val="32"/>
        </w:rPr>
        <w:t>技术创新</w:t>
      </w:r>
      <w:r>
        <w:rPr>
          <w:rFonts w:hint="eastAsia" w:ascii="仿宋_GB2312" w:eastAsia="仿宋_GB2312"/>
          <w:sz w:val="32"/>
          <w:szCs w:val="32"/>
        </w:rPr>
        <w:t>中心的总体思路（包括指导思想、战略定位、建设原则等）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五、省技术创新中心的建设内容（包括总体目标和主要任务、近三年的目标和任务等）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六、省技术创新中心的管理运行机制（包括组织架构、运行机制、管理制度、人员配备计划等）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七、省技术创新中心未来三年的经费预算情况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相关证明材料可作为附件。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24564"/>
    <w:rsid w:val="5652456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2019-04-30T07:49:00Z</dcterms:created>
  <dc:creator>吉他里的阳光</dc:creator>
  <cp:lastModifiedBy>吉他里的阳光</cp:lastModifiedBy>
  <dcterms:modified xsi:type="dcterms:W3CDTF">2019-04-30T07:49:35Z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