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w:t>
      </w:r>
    </w:p>
    <w:p>
      <w:pPr>
        <w:spacing w:line="580" w:lineRule="exact"/>
        <w:rPr>
          <w:rFonts w:ascii="Times New Roman" w:hAnsi="Times New Roman" w:eastAsia="仿宋_GB2312" w:cs="Times New Roman"/>
          <w:sz w:val="32"/>
          <w:szCs w:val="32"/>
        </w:rPr>
      </w:pPr>
    </w:p>
    <w:p>
      <w:pPr>
        <w:spacing w:line="58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2020年科技对口支援重点领域范围</w:t>
      </w:r>
    </w:p>
    <w:p>
      <w:pPr>
        <w:spacing w:line="580" w:lineRule="exact"/>
        <w:ind w:firstLine="640" w:firstLineChars="200"/>
        <w:rPr>
          <w:rFonts w:ascii="黑体" w:hAnsi="黑体" w:eastAsia="黑体" w:cs="Times New Roman"/>
          <w:sz w:val="32"/>
          <w:szCs w:val="32"/>
        </w:rPr>
      </w:pP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一、科技援疆</w:t>
      </w:r>
    </w:p>
    <w:p>
      <w:pPr>
        <w:spacing w:line="580" w:lineRule="exact"/>
        <w:ind w:firstLine="643" w:firstLineChars="200"/>
        <w:rPr>
          <w:rFonts w:ascii="仿宋_GB2312" w:hAnsi="楷体" w:eastAsia="仿宋_GB2312" w:cs="Times New Roman"/>
          <w:sz w:val="32"/>
          <w:szCs w:val="32"/>
        </w:rPr>
      </w:pPr>
      <w:r>
        <w:rPr>
          <w:rFonts w:hint="eastAsia" w:ascii="仿宋_GB2312" w:hAnsi="楷体" w:eastAsia="仿宋_GB2312" w:cs="Times New Roman"/>
          <w:b/>
          <w:sz w:val="32"/>
          <w:szCs w:val="32"/>
        </w:rPr>
        <w:t>重点任务：</w:t>
      </w:r>
      <w:r>
        <w:rPr>
          <w:rFonts w:hint="eastAsia" w:ascii="仿宋_GB2312" w:hAnsi="楷体" w:eastAsia="仿宋_GB2312" w:cs="Times New Roman"/>
          <w:sz w:val="32"/>
          <w:szCs w:val="32"/>
        </w:rPr>
        <w:t>深入贯彻落实第七次全国对口支援新疆工作会议及科技部第六次全国科技援疆会议精神,以双方新签署的《关于进一步深化科技对口援疆和创新合作协议》为依据，以对口支援新疆</w:t>
      </w:r>
      <w:r>
        <w:rPr>
          <w:rFonts w:hint="eastAsia" w:ascii="仿宋_GB2312" w:hAnsi="楷体" w:eastAsia="仿宋_GB2312" w:cs="Times New Roman"/>
          <w:b/>
          <w:bCs/>
          <w:sz w:val="32"/>
          <w:szCs w:val="32"/>
        </w:rPr>
        <w:t>喀什地区4县、生产建设兵团十二师</w:t>
      </w:r>
      <w:r>
        <w:rPr>
          <w:rFonts w:hint="eastAsia" w:ascii="仿宋_GB2312" w:hAnsi="楷体" w:eastAsia="仿宋_GB2312" w:cs="Times New Roman"/>
          <w:sz w:val="32"/>
          <w:szCs w:val="32"/>
        </w:rPr>
        <w:t>为重点，</w:t>
      </w:r>
      <w:r>
        <w:rPr>
          <w:rFonts w:hint="eastAsia" w:ascii="仿宋_GB2312" w:hAnsi="宋体" w:eastAsia="仿宋_GB2312" w:cs="宋体"/>
          <w:sz w:val="32"/>
          <w:szCs w:val="32"/>
        </w:rPr>
        <w:t>以科技项目为抓手，以平台建设为载体，推动援受双方科研院校、企业等在关键技术专项研究、产学研合作开发和先进实用技术推广应用上加强合作，建立多元化科技对口支援协作模式，</w:t>
      </w:r>
      <w:r>
        <w:rPr>
          <w:rFonts w:hint="eastAsia" w:ascii="仿宋_GB2312" w:hAnsi="楷体" w:eastAsia="仿宋_GB2312" w:cs="Times New Roman"/>
          <w:sz w:val="32"/>
          <w:szCs w:val="32"/>
        </w:rPr>
        <w:t>促进两地资源共享、优势互补、协同创新、合作共赢。</w:t>
      </w:r>
    </w:p>
    <w:p>
      <w:pPr>
        <w:spacing w:line="580" w:lineRule="exact"/>
        <w:ind w:firstLine="643" w:firstLineChars="200"/>
        <w:rPr>
          <w:rFonts w:ascii="仿宋_GB2312" w:hAnsi="宋体" w:eastAsia="仿宋_GB2312" w:cs="宋体"/>
          <w:sz w:val="32"/>
          <w:szCs w:val="32"/>
        </w:rPr>
      </w:pPr>
      <w:r>
        <w:rPr>
          <w:rFonts w:hint="eastAsia" w:ascii="仿宋_GB2312" w:hAnsi="楷体" w:eastAsia="仿宋_GB2312" w:cs="Times New Roman"/>
          <w:b/>
          <w:sz w:val="32"/>
          <w:szCs w:val="32"/>
        </w:rPr>
        <w:t>领域范围：</w:t>
      </w:r>
      <w:r>
        <w:rPr>
          <w:rFonts w:hint="eastAsia" w:ascii="仿宋_GB2312" w:hAnsi="宋体" w:eastAsia="仿宋_GB2312" w:cs="宋体"/>
          <w:sz w:val="32"/>
          <w:szCs w:val="32"/>
        </w:rPr>
        <w:t>一是进一步加强对口援疆支持力度。依托山东省高效农业产业优势，共同支持棉花、小麦、花生、驴产业等先进实用的种养殖产业发展，解决制约喀什地区农业发展的难题，助力喀什地区脱贫攻坚；二是推进创新平台载体建设。支持共建喀什农林牧科学院、喀什农业科技平台等新型研发机构及创新平台，与石河子大学建立协同创新中心，支持在兵团建设花生工程分中心，开展联合攻关研究，推动产学研合作开发，为新疆及兵团科技创新发展注入活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二、科技援藏</w:t>
      </w:r>
    </w:p>
    <w:p>
      <w:pPr>
        <w:spacing w:line="58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重点任务：</w:t>
      </w:r>
      <w:r>
        <w:rPr>
          <w:rFonts w:hint="eastAsia" w:ascii="仿宋_GB2312" w:hAnsi="宋体" w:eastAsia="仿宋_GB2312" w:cs="宋体"/>
          <w:sz w:val="32"/>
          <w:szCs w:val="32"/>
        </w:rPr>
        <w:t>全面贯彻落实山东省委、省政府和科技部深入推进对口援藏的工作部署,以支持重点领域关键技术研发和适用技术转移转化为重要抓手,充分发挥我厅援藏干部作用,突出强化智力帮扶和创新载体建设,为对口支援地</w:t>
      </w:r>
      <w:r>
        <w:rPr>
          <w:rFonts w:hint="eastAsia" w:ascii="仿宋_GB2312" w:hAnsi="宋体" w:eastAsia="仿宋_GB2312" w:cs="宋体"/>
          <w:b/>
          <w:bCs/>
          <w:sz w:val="32"/>
          <w:szCs w:val="32"/>
        </w:rPr>
        <w:t>日喀则市</w:t>
      </w:r>
      <w:r>
        <w:rPr>
          <w:rFonts w:hint="eastAsia" w:ascii="仿宋_GB2312" w:hAnsi="宋体" w:eastAsia="仿宋_GB2312" w:cs="宋体"/>
          <w:sz w:val="32"/>
          <w:szCs w:val="32"/>
        </w:rPr>
        <w:t>创新发展提供有力科技支撑。</w:t>
      </w:r>
    </w:p>
    <w:p>
      <w:pPr>
        <w:spacing w:line="58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领域范围：</w:t>
      </w:r>
      <w:r>
        <w:rPr>
          <w:rFonts w:hint="eastAsia" w:ascii="仿宋_GB2312" w:hAnsi="宋体" w:eastAsia="仿宋_GB2312" w:cs="宋体"/>
          <w:sz w:val="32"/>
          <w:szCs w:val="32"/>
        </w:rPr>
        <w:t>一是实施适合当地产业发展的引导性、示范性科技项目。重点支持高原设施果蔬种植、高原牧草高效种植、高原特色畜牧业健康养殖、高原特色农牧产品加工、高原公路技术、高原生态环保技术、藏医药产品研发等示范类项目，在当地开展技术培训、成果应用和示范推广，解决特色产业发展的共性关键技术问题，为脱贫攻坚提供有力支撑；二是开展智力扶贫援助。坚持“项目、平台、人才”一体化，项目实施中为日喀则提供多种方式科技指导服务，加强基层科技管理干部、科技特派员、农牧民专业合作社负责人及乡土科技人才培训；三是援助创新平台建设。通过院所共建或组团式援助模式，重点支持日喀则市农科所、畜牧中心等重点科研单位共建科技创新平台，提升创新能力，支撑当地特色产业发展。</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三、科技援青</w:t>
      </w:r>
    </w:p>
    <w:p>
      <w:pPr>
        <w:spacing w:line="58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重点任务：</w:t>
      </w:r>
      <w:r>
        <w:rPr>
          <w:rFonts w:hint="eastAsia" w:ascii="仿宋_GB2312" w:hAnsi="宋体" w:eastAsia="仿宋_GB2312" w:cs="宋体"/>
          <w:sz w:val="32"/>
          <w:szCs w:val="32"/>
        </w:rPr>
        <w:t>全面贯彻落实科技部和山东省委省政府深入推进对口援青的工作部署,</w:t>
      </w:r>
      <w:r>
        <w:rPr>
          <w:rFonts w:hint="eastAsia" w:ascii="Times New Roman" w:hAnsi="Times New Roman" w:eastAsia="仿宋_GB2312" w:cs="Times New Roman"/>
          <w:sz w:val="32"/>
          <w:szCs w:val="32"/>
        </w:rPr>
        <w:t xml:space="preserve"> </w:t>
      </w:r>
      <w:r>
        <w:rPr>
          <w:rFonts w:hint="eastAsia" w:ascii="仿宋_GB2312" w:hAnsi="宋体" w:eastAsia="仿宋_GB2312" w:cs="宋体"/>
          <w:sz w:val="32"/>
          <w:szCs w:val="32"/>
        </w:rPr>
        <w:t>进一步完善对口支援</w:t>
      </w:r>
      <w:r>
        <w:rPr>
          <w:rFonts w:hint="eastAsia" w:ascii="仿宋_GB2312" w:hAnsi="宋体" w:eastAsia="仿宋_GB2312" w:cs="宋体"/>
          <w:b/>
          <w:bCs/>
          <w:sz w:val="32"/>
          <w:szCs w:val="32"/>
        </w:rPr>
        <w:t>海北州</w:t>
      </w:r>
      <w:r>
        <w:rPr>
          <w:rFonts w:hint="eastAsia" w:ascii="仿宋_GB2312" w:hAnsi="宋体" w:eastAsia="仿宋_GB2312" w:cs="宋体"/>
          <w:sz w:val="32"/>
          <w:szCs w:val="32"/>
        </w:rPr>
        <w:t>与全面科技合作相结合的科技援青工作机制，推动山东技术、人才优势与青海的资源禀赋相结合，更好地开展科技合作，实现优势互补，合作共赢。</w:t>
      </w:r>
    </w:p>
    <w:p>
      <w:pPr>
        <w:spacing w:line="58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领域范围：</w:t>
      </w:r>
      <w:r>
        <w:rPr>
          <w:rFonts w:hint="eastAsia" w:ascii="仿宋_GB2312" w:hAnsi="宋体" w:eastAsia="仿宋_GB2312" w:cs="宋体"/>
          <w:sz w:val="32"/>
          <w:szCs w:val="32"/>
        </w:rPr>
        <w:t>以我省对口支援地海北州的科技创新工作为重点，助力当地特色产业集约化、品牌化发展，着力推动当地高质量发展。聚焦当地特色产业发展的共性关键技术问题，从构建现代农牧业发展模式、农畜产品精深加工、科技园区建设发展、特色生物资源开发、健康医疗技术成果转化、人才队伍建设等方面进行科技协作。</w:t>
      </w:r>
    </w:p>
    <w:p>
      <w:pPr>
        <w:spacing w:line="580" w:lineRule="exact"/>
        <w:ind w:firstLine="640" w:firstLineChars="200"/>
        <w:rPr>
          <w:rFonts w:ascii="方正小标宋简体" w:hAnsi="宋体" w:eastAsia="方正小标宋简体" w:cs="宋体"/>
          <w:sz w:val="32"/>
          <w:szCs w:val="32"/>
        </w:rPr>
      </w:pPr>
      <w:r>
        <w:rPr>
          <w:rFonts w:hint="eastAsia" w:ascii="黑体" w:hAnsi="黑体" w:eastAsia="黑体" w:cs="宋体"/>
          <w:sz w:val="32"/>
          <w:szCs w:val="32"/>
        </w:rPr>
        <w:t>四</w:t>
      </w:r>
      <w:r>
        <w:rPr>
          <w:rFonts w:hint="eastAsia" w:ascii="方正小标宋简体" w:hAnsi="宋体" w:eastAsia="方正小标宋简体" w:cs="宋体"/>
          <w:sz w:val="32"/>
          <w:szCs w:val="32"/>
        </w:rPr>
        <w:t>、科技支宁</w:t>
      </w:r>
    </w:p>
    <w:p>
      <w:pPr>
        <w:spacing w:line="580" w:lineRule="exact"/>
        <w:ind w:firstLine="646"/>
        <w:rPr>
          <w:rFonts w:ascii="仿宋_GB2312" w:hAnsi="Calibri" w:eastAsia="仿宋_GB2312" w:cs="Times New Roman"/>
          <w:sz w:val="32"/>
          <w:szCs w:val="32"/>
        </w:rPr>
      </w:pPr>
      <w:r>
        <w:rPr>
          <w:rFonts w:hint="eastAsia" w:ascii="仿宋_GB2312" w:hAnsi="Calibri" w:eastAsia="仿宋_GB2312" w:cs="Times New Roman"/>
          <w:b/>
          <w:sz w:val="32"/>
          <w:szCs w:val="32"/>
        </w:rPr>
        <w:t>重点任务：</w:t>
      </w:r>
      <w:r>
        <w:rPr>
          <w:rFonts w:hint="eastAsia" w:ascii="仿宋_GB2312" w:hAnsi="宋体" w:eastAsia="仿宋_GB2312" w:cs="宋体"/>
          <w:sz w:val="32"/>
          <w:szCs w:val="32"/>
        </w:rPr>
        <w:t>深入</w:t>
      </w:r>
      <w:r>
        <w:rPr>
          <w:rFonts w:hint="eastAsia" w:ascii="仿宋_GB2312" w:hAnsi="Calibri" w:eastAsia="仿宋_GB2312" w:cs="Times New Roman"/>
          <w:sz w:val="32"/>
          <w:szCs w:val="32"/>
        </w:rPr>
        <w:t>贯彻</w:t>
      </w:r>
      <w:r>
        <w:rPr>
          <w:rFonts w:ascii="仿宋_GB2312" w:hAnsi="Calibri" w:eastAsia="仿宋_GB2312" w:cs="Times New Roman"/>
          <w:sz w:val="32"/>
          <w:szCs w:val="32"/>
        </w:rPr>
        <w:t>落实</w:t>
      </w:r>
      <w:r>
        <w:rPr>
          <w:rFonts w:hint="eastAsia" w:ascii="仿宋_GB2312" w:hAnsi="Calibri" w:eastAsia="仿宋_GB2312" w:cs="Times New Roman"/>
          <w:sz w:val="32"/>
          <w:szCs w:val="32"/>
        </w:rPr>
        <w:t>“科技支宁”东西部合作推进会精神</w:t>
      </w:r>
      <w:r>
        <w:rPr>
          <w:rFonts w:ascii="仿宋_GB2312" w:hAnsi="Calibri" w:eastAsia="仿宋_GB2312" w:cs="Times New Roman"/>
          <w:sz w:val="32"/>
          <w:szCs w:val="32"/>
        </w:rPr>
        <w:t>，</w:t>
      </w:r>
      <w:r>
        <w:rPr>
          <w:rFonts w:hint="eastAsia" w:ascii="仿宋_GB2312" w:hAnsi="Calibri" w:eastAsia="仿宋_GB2312" w:cs="Times New Roman"/>
          <w:sz w:val="32"/>
          <w:szCs w:val="32"/>
        </w:rPr>
        <w:t>根据宁夏特色优势和需求，充分发挥山东农业科技创新资源优势，不断拓宽合作领域，促进两地科技创新资源双向流动，推进双方在科技合作上实现互利共赢，努力打造“科技支宁”东西部合作样板。</w:t>
      </w:r>
    </w:p>
    <w:p>
      <w:pPr>
        <w:spacing w:line="580" w:lineRule="exact"/>
        <w:ind w:firstLine="643" w:firstLineChars="200"/>
        <w:rPr>
          <w:rFonts w:ascii="仿宋_GB2312" w:hAnsi="宋体" w:eastAsia="仿宋_GB2312" w:cs="宋体"/>
          <w:sz w:val="32"/>
          <w:szCs w:val="32"/>
        </w:rPr>
      </w:pPr>
      <w:r>
        <w:rPr>
          <w:rFonts w:hint="eastAsia" w:ascii="仿宋_GB2312" w:hAnsi="Calibri" w:eastAsia="仿宋_GB2312" w:cs="Times New Roman"/>
          <w:b/>
          <w:sz w:val="32"/>
          <w:szCs w:val="32"/>
        </w:rPr>
        <w:t>领域范围：</w:t>
      </w:r>
      <w:r>
        <w:rPr>
          <w:rFonts w:hint="eastAsia" w:ascii="仿宋_GB2312" w:hAnsi="宋体" w:eastAsia="仿宋_GB2312" w:cs="宋体"/>
          <w:sz w:val="32"/>
          <w:szCs w:val="32"/>
        </w:rPr>
        <w:t>重点支持“鲁宁现代种业科技创新基地”</w:t>
      </w:r>
      <w:r>
        <w:rPr>
          <w:rFonts w:hint="eastAsia" w:ascii="Times New Roman" w:hAnsi="Times New Roman" w:eastAsia="仿宋_GB2312" w:cs="Times New Roman"/>
          <w:sz w:val="32"/>
          <w:szCs w:val="32"/>
        </w:rPr>
        <w:t>、“</w:t>
      </w:r>
      <w:r>
        <w:rPr>
          <w:rFonts w:hint="eastAsia" w:ascii="仿宋_GB2312" w:hAnsi="宋体" w:eastAsia="仿宋_GB2312" w:cs="宋体"/>
          <w:sz w:val="32"/>
          <w:szCs w:val="32"/>
        </w:rPr>
        <w:t>水发(宁夏)现代农业一二三产业融合发展示范产业园”等重点工程开展重大科技攻关和成果转化，开展种质资源创新利用、育种技术和新材料创制、良种繁育等关键技术研发，加快培育一批宜地适土的高质量优良品种，支持宁夏马铃薯产业研究院、梨树研发中心、冷凉蔬菜协同创新中心等平台建设，推广重点农业科技成果，建立科技示范基地，推动农业科技成果转化。</w:t>
      </w:r>
    </w:p>
    <w:p>
      <w:pPr>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五、科技扶贫协作重庆</w:t>
      </w:r>
    </w:p>
    <w:p>
      <w:pPr>
        <w:spacing w:line="58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重点任务：</w:t>
      </w:r>
      <w:r>
        <w:rPr>
          <w:rFonts w:hint="eastAsia" w:ascii="仿宋_GB2312" w:hAnsi="宋体" w:eastAsia="仿宋_GB2312" w:cs="宋体"/>
          <w:sz w:val="32"/>
          <w:szCs w:val="32"/>
        </w:rPr>
        <w:t>深入贯彻落实山东省与重庆市关于深化两省市扶贫协作有关工作部署，在2019年开展鲁渝科技协作的基础上持续推进，进一步完善协作机制、促进人才交流、加强扶贫技术推广、强化创新联合协作，以科技创新支撑精准脱贫和乡村振兴，助力重庆打赢打好脱贫攻坚战。强化联合研发平台建设，开展优势领域联合攻关，推动两省市科技创新携手共进，互利双赢。</w:t>
      </w:r>
    </w:p>
    <w:p>
      <w:pPr>
        <w:spacing w:line="58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领域范围：</w:t>
      </w:r>
      <w:r>
        <w:rPr>
          <w:rFonts w:hint="eastAsia" w:ascii="仿宋_GB2312" w:hAnsi="宋体" w:eastAsia="仿宋_GB2312" w:cs="宋体"/>
          <w:sz w:val="32"/>
          <w:szCs w:val="32"/>
        </w:rPr>
        <w:t>一是技术示范项目，推进解决贫困地区特色产业发展的共性关键技术问题，在当地开展成果应用和示范推广，提高其创新能力，延长产业链，形成产业集群，促进贫困地区产业提效、农民增收，为脱贫攻坚提供有力科技支撑。二是能力提升项目。重点支持2019年共同组建的4个联合创新中心提升创新平台建设水平，进一步健全科技扶贫协作长效机制；三是联合攻关项目。围绕双方的优势领域和重点研发方向开展联合协同攻关。</w:t>
      </w:r>
    </w:p>
    <w:p>
      <w:pPr>
        <w:spacing w:line="580" w:lineRule="exact"/>
        <w:ind w:firstLine="640" w:firstLineChars="200"/>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p>
    <w:p>
      <w:pPr>
        <w:spacing w:line="580" w:lineRule="exact"/>
        <w:ind w:firstLine="640" w:firstLineChars="200"/>
        <w:rPr>
          <w:rFonts w:ascii="仿宋_GB2312" w:hAnsi="宋体" w:eastAsia="仿宋_GB2312" w:cs="宋体"/>
          <w:sz w:val="32"/>
          <w:szCs w:val="32"/>
        </w:rPr>
      </w:pPr>
    </w:p>
    <w:p>
      <w:pPr>
        <w:spacing w:line="580" w:lineRule="exact"/>
        <w:ind w:firstLine="643" w:firstLineChars="200"/>
        <w:rPr>
          <w:rFonts w:ascii="仿宋_GB2312" w:hAnsi="Calibri" w:eastAsia="仿宋_GB2312" w:cs="Times New Roman"/>
          <w:b/>
          <w:sz w:val="32"/>
          <w:szCs w:val="32"/>
        </w:rPr>
      </w:pP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附件2</w:t>
      </w:r>
    </w:p>
    <w:p>
      <w:pPr>
        <w:widowControl/>
        <w:shd w:val="clear" w:color="auto" w:fill="FFFFFF"/>
        <w:spacing w:line="520" w:lineRule="exact"/>
        <w:jc w:val="center"/>
        <w:rPr>
          <w:rFonts w:ascii="彩虹小标宋" w:hAnsi="仿宋" w:eastAsia="彩虹小标宋" w:cs="Times New Roman"/>
          <w:sz w:val="36"/>
          <w:szCs w:val="36"/>
        </w:rPr>
      </w:pPr>
    </w:p>
    <w:p>
      <w:pPr>
        <w:jc w:val="center"/>
        <w:rPr>
          <w:rFonts w:ascii="方正小标宋简体" w:hAnsi="仿宋" w:eastAsia="方正小标宋简体" w:cs="Times New Roman"/>
          <w:sz w:val="36"/>
          <w:szCs w:val="36"/>
        </w:rPr>
      </w:pPr>
      <w:r>
        <w:rPr>
          <w:rFonts w:hint="eastAsia" w:ascii="方正小标宋简体" w:hAnsi="仿宋" w:eastAsia="方正小标宋简体" w:cs="Times New Roman"/>
          <w:sz w:val="36"/>
          <w:szCs w:val="36"/>
        </w:rPr>
        <w:t>山东省重点研发计划（区域科技协作）指南建议</w:t>
      </w:r>
    </w:p>
    <w:p>
      <w:pPr>
        <w:jc w:val="center"/>
        <w:rPr>
          <w:rFonts w:ascii="方正小标宋简体" w:hAnsi="Times New Roman" w:eastAsia="方正小标宋简体" w:cs="Times New Roman"/>
          <w:spacing w:val="-6"/>
          <w:sz w:val="44"/>
          <w:szCs w:val="44"/>
        </w:rPr>
      </w:pPr>
      <w:r>
        <w:rPr>
          <w:rFonts w:hint="eastAsia" w:ascii="方正小标宋简体" w:hAnsi="仿宋" w:eastAsia="方正小标宋简体" w:cs="Times New Roman"/>
          <w:sz w:val="36"/>
          <w:szCs w:val="36"/>
        </w:rPr>
        <w:t>（格 式）</w:t>
      </w:r>
    </w:p>
    <w:p>
      <w:pPr>
        <w:pStyle w:val="5"/>
        <w:spacing w:line="560" w:lineRule="exact"/>
        <w:ind w:firstLine="0" w:firstLineChars="0"/>
        <w:jc w:val="center"/>
        <w:rPr>
          <w:rFonts w:ascii="Times New Roman" w:hAnsi="Times New Roman" w:eastAsia="方正小标宋简体" w:cs="Times New Roman"/>
          <w:spacing w:val="-6"/>
          <w:sz w:val="44"/>
          <w:szCs w:val="44"/>
        </w:rPr>
      </w:pPr>
    </w:p>
    <w:p>
      <w:pPr>
        <w:pStyle w:val="5"/>
        <w:spacing w:line="360" w:lineRule="auto"/>
        <w:ind w:firstLine="616"/>
        <w:rPr>
          <w:rFonts w:ascii="黑体" w:hAnsi="黑体" w:eastAsia="黑体" w:cs="黑体"/>
          <w:spacing w:val="-6"/>
          <w:sz w:val="32"/>
          <w:szCs w:val="32"/>
        </w:rPr>
      </w:pPr>
      <w:r>
        <w:rPr>
          <w:rFonts w:hint="eastAsia" w:ascii="黑体" w:hAnsi="黑体" w:eastAsia="黑体" w:cs="黑体"/>
          <w:spacing w:val="-6"/>
          <w:sz w:val="32"/>
          <w:szCs w:val="32"/>
        </w:rPr>
        <w:t>一、研究名称（方向）</w:t>
      </w:r>
    </w:p>
    <w:p>
      <w:pPr>
        <w:spacing w:line="360" w:lineRule="auto"/>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二、建议单位及建议人情况</w:t>
      </w:r>
    </w:p>
    <w:p>
      <w:pPr>
        <w:spacing w:line="360" w:lineRule="auto"/>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三、当地需求及自身优势</w:t>
      </w:r>
    </w:p>
    <w:p>
      <w:pPr>
        <w:spacing w:line="360" w:lineRule="auto"/>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四、前期协作情况</w:t>
      </w:r>
    </w:p>
    <w:p>
      <w:pPr>
        <w:spacing w:line="360" w:lineRule="auto"/>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四、指南建议</w:t>
      </w:r>
    </w:p>
    <w:p>
      <w:pPr>
        <w:spacing w:line="360" w:lineRule="auto"/>
        <w:ind w:left="616"/>
        <w:rPr>
          <w:rFonts w:ascii="仿宋" w:hAnsi="仿宋" w:eastAsia="仿宋" w:cs="仿宋"/>
          <w:spacing w:val="-6"/>
          <w:sz w:val="32"/>
          <w:szCs w:val="32"/>
        </w:rPr>
      </w:pPr>
      <w:r>
        <w:rPr>
          <w:rFonts w:hint="eastAsia" w:ascii="仿宋" w:hAnsi="仿宋" w:eastAsia="仿宋" w:cs="仿宋"/>
          <w:spacing w:val="-6"/>
          <w:sz w:val="32"/>
          <w:szCs w:val="32"/>
        </w:rPr>
        <w:t>1.研究内容</w:t>
      </w:r>
    </w:p>
    <w:p>
      <w:pPr>
        <w:spacing w:line="360" w:lineRule="auto"/>
        <w:ind w:left="616"/>
        <w:rPr>
          <w:rFonts w:ascii="仿宋" w:hAnsi="仿宋" w:eastAsia="仿宋" w:cs="仿宋"/>
          <w:spacing w:val="-6"/>
          <w:sz w:val="32"/>
          <w:szCs w:val="32"/>
        </w:rPr>
      </w:pPr>
      <w:r>
        <w:rPr>
          <w:rFonts w:hint="eastAsia" w:ascii="仿宋" w:hAnsi="仿宋" w:eastAsia="仿宋" w:cs="仿宋"/>
          <w:spacing w:val="-6"/>
          <w:sz w:val="32"/>
          <w:szCs w:val="32"/>
        </w:rPr>
        <w:t>2.考核指标</w:t>
      </w:r>
    </w:p>
    <w:p>
      <w:pPr>
        <w:spacing w:line="360" w:lineRule="auto"/>
        <w:ind w:left="616"/>
        <w:rPr>
          <w:rFonts w:ascii="仿宋" w:hAnsi="仿宋" w:eastAsia="仿宋" w:cs="仿宋"/>
          <w:spacing w:val="-6"/>
          <w:sz w:val="32"/>
          <w:szCs w:val="32"/>
        </w:rPr>
      </w:pPr>
      <w:r>
        <w:rPr>
          <w:rFonts w:hint="eastAsia" w:ascii="仿宋" w:hAnsi="仿宋" w:eastAsia="仿宋" w:cs="仿宋"/>
          <w:spacing w:val="-6"/>
          <w:sz w:val="32"/>
          <w:szCs w:val="32"/>
        </w:rPr>
        <w:t>3.预期绩效评估情况（预期经济和社会效益）</w:t>
      </w:r>
    </w:p>
    <w:p>
      <w:pPr>
        <w:spacing w:line="360" w:lineRule="auto"/>
        <w:ind w:left="616"/>
        <w:rPr>
          <w:rFonts w:ascii="仿宋" w:hAnsi="仿宋" w:eastAsia="仿宋" w:cs="仿宋"/>
          <w:spacing w:val="-6"/>
          <w:sz w:val="32"/>
          <w:szCs w:val="32"/>
        </w:rPr>
      </w:pPr>
      <w:r>
        <w:rPr>
          <w:rFonts w:hint="eastAsia" w:ascii="仿宋" w:hAnsi="仿宋" w:eastAsia="仿宋" w:cs="仿宋"/>
          <w:spacing w:val="-6"/>
          <w:sz w:val="32"/>
          <w:szCs w:val="32"/>
        </w:rPr>
        <w:t>4.与当地单位（企业为主，或大学、科研机构）</w:t>
      </w:r>
      <w:r>
        <w:rPr>
          <w:rFonts w:hint="eastAsia" w:ascii="Times New Roman" w:hAnsi="Times New Roman" w:eastAsia="仿宋_GB2312" w:cs="Times New Roman"/>
          <w:sz w:val="32"/>
          <w:szCs w:val="32"/>
        </w:rPr>
        <w:t>技术转移转化及产学研合作的</w:t>
      </w:r>
      <w:r>
        <w:rPr>
          <w:rFonts w:hint="eastAsia" w:ascii="仿宋" w:hAnsi="仿宋" w:eastAsia="仿宋" w:cs="仿宋"/>
          <w:spacing w:val="-6"/>
          <w:sz w:val="32"/>
          <w:szCs w:val="32"/>
        </w:rPr>
        <w:t>建议意向</w:t>
      </w:r>
    </w:p>
    <w:p>
      <w:pPr>
        <w:spacing w:line="360" w:lineRule="auto"/>
        <w:ind w:firstLine="616" w:firstLineChars="200"/>
        <w:rPr>
          <w:rFonts w:ascii="仿宋" w:hAnsi="仿宋" w:eastAsia="仿宋" w:cs="仿宋"/>
          <w:spacing w:val="-6"/>
          <w:sz w:val="32"/>
          <w:szCs w:val="32"/>
        </w:rPr>
      </w:pPr>
    </w:p>
    <w:p>
      <w:pPr>
        <w:spacing w:line="360" w:lineRule="auto"/>
        <w:ind w:firstLine="616" w:firstLineChars="200"/>
        <w:rPr>
          <w:rFonts w:ascii="仿宋" w:hAnsi="仿宋" w:eastAsia="仿宋" w:cs="仿宋"/>
          <w:spacing w:val="-6"/>
          <w:sz w:val="32"/>
          <w:szCs w:val="32"/>
        </w:rPr>
      </w:pPr>
    </w:p>
    <w:p>
      <w:pPr>
        <w:spacing w:line="360" w:lineRule="auto"/>
        <w:ind w:firstLine="616" w:firstLineChars="200"/>
        <w:rPr>
          <w:rFonts w:ascii="仿宋" w:hAnsi="仿宋" w:eastAsia="仿宋" w:cs="仿宋"/>
          <w:spacing w:val="-6"/>
          <w:sz w:val="32"/>
          <w:szCs w:val="32"/>
        </w:rPr>
      </w:pPr>
    </w:p>
    <w:p>
      <w:pPr>
        <w:spacing w:line="360" w:lineRule="auto"/>
        <w:ind w:firstLine="616" w:firstLineChars="200"/>
        <w:rPr>
          <w:rFonts w:ascii="仿宋" w:hAnsi="仿宋" w:eastAsia="仿宋" w:cs="仿宋"/>
          <w:spacing w:val="-6"/>
          <w:sz w:val="32"/>
          <w:szCs w:val="32"/>
        </w:rPr>
      </w:pPr>
    </w:p>
    <w:p>
      <w:pPr>
        <w:spacing w:line="360" w:lineRule="auto"/>
        <w:ind w:firstLine="616" w:firstLineChars="200"/>
        <w:rPr>
          <w:rFonts w:ascii="仿宋" w:hAnsi="仿宋" w:eastAsia="仿宋" w:cs="仿宋"/>
          <w:spacing w:val="-6"/>
          <w:sz w:val="32"/>
          <w:szCs w:val="32"/>
        </w:rPr>
      </w:pPr>
    </w:p>
    <w:p>
      <w:pPr>
        <w:spacing w:line="360" w:lineRule="auto"/>
        <w:ind w:firstLine="616" w:firstLineChars="200"/>
        <w:rPr>
          <w:rFonts w:ascii="仿宋" w:hAnsi="仿宋" w:eastAsia="仿宋" w:cs="仿宋"/>
          <w:spacing w:val="-6"/>
          <w:sz w:val="32"/>
          <w:szCs w:val="32"/>
        </w:rPr>
      </w:pPr>
    </w:p>
    <w:p>
      <w:pPr>
        <w:spacing w:line="360" w:lineRule="auto"/>
        <w:ind w:firstLine="616" w:firstLineChars="200"/>
        <w:rPr>
          <w:rFonts w:ascii="仿宋" w:hAnsi="仿宋" w:eastAsia="仿宋" w:cs="仿宋"/>
          <w:spacing w:val="-6"/>
          <w:sz w:val="32"/>
          <w:szCs w:val="32"/>
        </w:rPr>
      </w:pPr>
    </w:p>
    <w:p>
      <w:bookmarkStart w:id="0" w:name="_GoBack"/>
      <w:bookmarkEnd w:id="0"/>
    </w:p>
    <w:sectPr>
      <w:footerReference r:id="rId3" w:type="default"/>
      <w:pgSz w:w="11906" w:h="16838"/>
      <w:pgMar w:top="158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彩虹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608B3"/>
    <w:rsid w:val="7E0608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2019-12-24T02:58:00Z</dcterms:created>
  <dc:creator>深海鱼</dc:creator>
  <cp:lastModifiedBy>深海鱼</cp:lastModifiedBy>
  <dcterms:modified xsi:type="dcterms:W3CDTF">2019-12-24T02:59:38Z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